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 w:hAnsi="仿宋" w:eastAsia="仿宋" w:cs="仿宋"/>
          <w:sz w:val="24"/>
        </w:rPr>
      </w:pPr>
      <w:bookmarkStart w:id="79" w:name="_GoBack"/>
      <w:bookmarkEnd w:id="79"/>
    </w:p>
    <w:p>
      <w:pPr>
        <w:jc w:val="center"/>
        <w:rPr>
          <w:rFonts w:hint="eastAsia" w:ascii="宋体" w:hAnsi="宋体" w:eastAsia="宋体" w:cs="宋体"/>
          <w:b/>
          <w:bCs/>
          <w:sz w:val="48"/>
          <w:szCs w:val="48"/>
        </w:rPr>
      </w:pPr>
      <w:r>
        <w:rPr>
          <w:rFonts w:hint="eastAsia" w:ascii="宋体" w:hAnsi="宋体" w:eastAsia="宋体" w:cs="宋体"/>
          <w:b/>
          <w:bCs/>
          <w:sz w:val="48"/>
          <w:szCs w:val="48"/>
        </w:rPr>
        <w:t>广州市净水有限公司污泥药剂试验项目合同</w:t>
      </w:r>
    </w:p>
    <w:p>
      <w:pPr>
        <w:jc w:val="center"/>
        <w:rPr>
          <w:rFonts w:hint="eastAsia" w:ascii="宋体" w:hAnsi="宋体" w:eastAsia="宋体" w:cs="宋体"/>
          <w:sz w:val="32"/>
          <w:szCs w:val="32"/>
        </w:rPr>
      </w:pPr>
    </w:p>
    <w:p>
      <w:pPr>
        <w:jc w:val="center"/>
        <w:rPr>
          <w:rFonts w:hint="eastAsia" w:ascii="宋体" w:hAnsi="宋体" w:eastAsia="宋体" w:cs="宋体"/>
          <w:b/>
          <w:bCs/>
          <w:sz w:val="30"/>
          <w:szCs w:val="30"/>
        </w:rPr>
      </w:pPr>
    </w:p>
    <w:p>
      <w:pPr>
        <w:rPr>
          <w:rFonts w:hint="eastAsia" w:ascii="宋体" w:hAnsi="宋体" w:eastAsia="宋体" w:cs="宋体"/>
          <w:b/>
          <w:bCs/>
          <w:sz w:val="30"/>
          <w:szCs w:val="30"/>
        </w:rPr>
      </w:pPr>
      <w:r>
        <w:rPr>
          <w:rFonts w:hint="eastAsia" w:ascii="宋体" w:hAnsi="宋体" w:eastAsia="宋体" w:cs="宋体"/>
          <w:b/>
          <w:bCs/>
          <w:sz w:val="30"/>
          <w:szCs w:val="30"/>
        </w:rPr>
        <w:t>项目名称：</w:t>
      </w:r>
    </w:p>
    <w:p>
      <w:pPr>
        <w:rPr>
          <w:rFonts w:hint="eastAsia" w:ascii="宋体" w:hAnsi="宋体" w:eastAsia="宋体" w:cs="宋体"/>
          <w:b/>
          <w:bCs/>
          <w:sz w:val="30"/>
          <w:szCs w:val="30"/>
        </w:rPr>
      </w:pPr>
      <w:r>
        <w:rPr>
          <w:rFonts w:hint="eastAsia" w:ascii="宋体" w:hAnsi="宋体" w:eastAsia="宋体" w:cs="宋体"/>
          <w:b/>
          <w:bCs/>
          <w:sz w:val="30"/>
          <w:szCs w:val="30"/>
        </w:rPr>
        <w:t>项目编号：</w:t>
      </w:r>
    </w:p>
    <w:p>
      <w:pPr>
        <w:rPr>
          <w:rFonts w:hint="eastAsia" w:ascii="宋体" w:hAnsi="宋体" w:eastAsia="宋体" w:cs="宋体"/>
          <w:b/>
          <w:bCs/>
          <w:sz w:val="30"/>
          <w:szCs w:val="30"/>
        </w:rPr>
      </w:pPr>
      <w:r>
        <w:rPr>
          <w:rFonts w:hint="eastAsia" w:ascii="宋体" w:hAnsi="宋体" w:eastAsia="宋体" w:cs="宋体"/>
          <w:b/>
          <w:bCs/>
          <w:sz w:val="30"/>
          <w:szCs w:val="30"/>
        </w:rPr>
        <w:t>合同名称：</w:t>
      </w:r>
    </w:p>
    <w:p>
      <w:pPr>
        <w:rPr>
          <w:rFonts w:hint="eastAsia" w:ascii="宋体" w:hAnsi="宋体" w:eastAsia="宋体" w:cs="宋体"/>
          <w:sz w:val="32"/>
          <w:szCs w:val="32"/>
        </w:rPr>
      </w:pPr>
    </w:p>
    <w:p>
      <w:pPr>
        <w:spacing w:after="160" w:line="480" w:lineRule="auto"/>
        <w:rPr>
          <w:rFonts w:hint="eastAsia" w:ascii="宋体" w:hAnsi="宋体" w:cs="宋体"/>
          <w:b/>
          <w:bCs/>
          <w:sz w:val="30"/>
        </w:rPr>
      </w:pPr>
      <w:r>
        <w:rPr>
          <w:rFonts w:hint="eastAsia" w:ascii="宋体" w:hAnsi="宋体" w:cs="宋体"/>
          <w:b/>
          <w:bCs/>
          <w:sz w:val="30"/>
        </w:rPr>
        <w:t xml:space="preserve">甲方：广州市净水有限公司  </w:t>
      </w:r>
    </w:p>
    <w:p>
      <w:pPr>
        <w:spacing w:after="160" w:line="480" w:lineRule="auto"/>
        <w:rPr>
          <w:rFonts w:hint="eastAsia" w:ascii="仿宋" w:hAnsi="仿宋" w:eastAsia="仿宋" w:cs="仿宋"/>
          <w:sz w:val="24"/>
        </w:rPr>
      </w:pPr>
      <w:r>
        <w:rPr>
          <w:rFonts w:hint="eastAsia" w:ascii="宋体" w:hAnsi="宋体" w:cs="宋体"/>
          <w:b/>
          <w:bCs/>
          <w:sz w:val="30"/>
        </w:rPr>
        <w:t xml:space="preserve">乙方： </w:t>
      </w:r>
      <w:r>
        <w:rPr>
          <w:rFonts w:hint="eastAsia" w:ascii="仿宋" w:hAnsi="仿宋" w:eastAsia="仿宋" w:cs="仿宋"/>
          <w:sz w:val="24"/>
        </w:rPr>
        <w:tab/>
      </w:r>
    </w:p>
    <w:p>
      <w:pPr>
        <w:jc w:val="center"/>
        <w:rPr>
          <w:rFonts w:hint="eastAsia" w:ascii="宋体" w:hAnsi="宋体" w:eastAsia="宋体" w:cs="宋体"/>
          <w:sz w:val="32"/>
          <w:szCs w:val="32"/>
        </w:rPr>
      </w:pPr>
    </w:p>
    <w:p>
      <w:pPr>
        <w:spacing w:after="160" w:line="480" w:lineRule="auto"/>
        <w:rPr>
          <w:rFonts w:hint="eastAsia" w:ascii="宋体" w:hAnsi="宋体" w:cs="宋体"/>
          <w:b/>
          <w:bCs/>
          <w:sz w:val="30"/>
        </w:rPr>
      </w:pPr>
      <w:r>
        <w:rPr>
          <w:rFonts w:hint="eastAsia" w:ascii="宋体" w:hAnsi="宋体" w:cs="宋体"/>
          <w:b/>
          <w:bCs/>
          <w:sz w:val="30"/>
        </w:rPr>
        <w:t>签订日期：    年  月  日</w:t>
      </w:r>
    </w:p>
    <w:p>
      <w:pPr>
        <w:spacing w:after="160" w:line="480" w:lineRule="auto"/>
        <w:rPr>
          <w:rFonts w:hint="eastAsia" w:ascii="宋体" w:hAnsi="宋体" w:cs="宋体"/>
          <w:b/>
          <w:bCs/>
          <w:sz w:val="30"/>
        </w:rPr>
      </w:pPr>
      <w:r>
        <w:rPr>
          <w:rFonts w:hint="eastAsia" w:ascii="宋体" w:hAnsi="宋体" w:cs="宋体"/>
          <w:b/>
          <w:bCs/>
          <w:sz w:val="30"/>
        </w:rPr>
        <w:t>签约地点：广州市</w:t>
      </w:r>
    </w:p>
    <w:p>
      <w:pPr>
        <w:jc w:val="center"/>
        <w:rPr>
          <w:rFonts w:hint="eastAsia" w:ascii="宋体" w:hAnsi="宋体" w:eastAsia="宋体" w:cs="宋体"/>
          <w:sz w:val="32"/>
          <w:szCs w:val="32"/>
        </w:rPr>
      </w:pPr>
    </w:p>
    <w:p>
      <w:pPr>
        <w:jc w:val="center"/>
        <w:rPr>
          <w:rFonts w:hint="eastAsia" w:ascii="宋体" w:hAnsi="宋体" w:eastAsia="宋体" w:cs="宋体"/>
          <w:sz w:val="32"/>
          <w:szCs w:val="32"/>
        </w:rPr>
      </w:pPr>
    </w:p>
    <w:p>
      <w:pPr>
        <w:jc w:val="center"/>
        <w:rPr>
          <w:rFonts w:hint="eastAsia" w:ascii="宋体" w:hAnsi="宋体" w:eastAsia="宋体" w:cs="宋体"/>
          <w:sz w:val="32"/>
          <w:szCs w:val="32"/>
        </w:rPr>
      </w:pPr>
    </w:p>
    <w:p>
      <w:pPr>
        <w:jc w:val="center"/>
        <w:rPr>
          <w:rFonts w:hint="eastAsia" w:ascii="宋体" w:hAnsi="宋体" w:eastAsia="宋体" w:cs="宋体"/>
          <w:sz w:val="32"/>
          <w:szCs w:val="32"/>
        </w:rPr>
      </w:pPr>
    </w:p>
    <w:p>
      <w:pPr>
        <w:jc w:val="center"/>
        <w:rPr>
          <w:rFonts w:hint="eastAsia" w:ascii="宋体" w:hAnsi="宋体" w:eastAsia="宋体" w:cs="宋体"/>
          <w:sz w:val="32"/>
          <w:szCs w:val="32"/>
        </w:rPr>
      </w:pPr>
    </w:p>
    <w:p>
      <w:pPr>
        <w:jc w:val="center"/>
        <w:rPr>
          <w:rFonts w:hint="eastAsia" w:ascii="宋体" w:hAnsi="宋体" w:eastAsia="宋体" w:cs="宋体"/>
          <w:sz w:val="32"/>
          <w:szCs w:val="32"/>
        </w:rPr>
      </w:pPr>
    </w:p>
    <w:p>
      <w:pPr>
        <w:rPr>
          <w:rFonts w:hint="eastAsia" w:ascii="宋体" w:hAnsi="宋体" w:eastAsia="宋体" w:cs="宋体"/>
          <w:sz w:val="32"/>
          <w:szCs w:val="32"/>
        </w:rPr>
      </w:pPr>
    </w:p>
    <w:p>
      <w:pPr>
        <w:rPr>
          <w:rFonts w:hint="eastAsia" w:ascii="仿宋" w:hAnsi="仿宋" w:eastAsia="仿宋" w:cs="仿宋"/>
          <w:sz w:val="24"/>
        </w:rPr>
      </w:pPr>
    </w:p>
    <w:p>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合同条款目录</w:t>
      </w:r>
    </w:p>
    <w:p>
      <w:pPr>
        <w:rPr>
          <w:rFonts w:hint="eastAsia" w:ascii="仿宋_GB2312" w:hAnsi="仿宋_GB2312" w:eastAsia="仿宋_GB2312" w:cs="仿宋_GB2312"/>
          <w:sz w:val="32"/>
          <w:szCs w:val="32"/>
        </w:rPr>
      </w:pP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第一条</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 xml:space="preserve">  总则</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第二条</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 xml:space="preserve">  项目地点、试验期</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第三条</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 xml:space="preserve">  定义与解释</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第四条</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 xml:space="preserve">  双方的一般义务</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第五条</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 xml:space="preserve">  试验效果要求</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第六条</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 xml:space="preserve">  法律的适用及争议的解决方式</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第七条</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 xml:space="preserve">  不可抗力</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第八条    其它</w:t>
      </w:r>
    </w:p>
    <w:p>
      <w:pPr>
        <w:rPr>
          <w:rFonts w:hint="eastAsia" w:ascii="仿宋" w:hAnsi="仿宋" w:eastAsia="仿宋" w:cs="仿宋"/>
          <w:sz w:val="24"/>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pStyle w:val="2"/>
        <w:rPr>
          <w:rFonts w:hint="eastAsia" w:ascii="仿宋" w:hAnsi="仿宋" w:eastAsia="仿宋" w:cs="仿宋"/>
          <w:color w:val="auto"/>
        </w:rPr>
      </w:pPr>
    </w:p>
    <w:p>
      <w:pPr>
        <w:rPr>
          <w:rFonts w:hint="eastAsia" w:ascii="仿宋" w:hAnsi="仿宋" w:eastAsia="仿宋" w:cs="仿宋"/>
          <w:sz w:val="30"/>
          <w:szCs w:val="30"/>
        </w:rPr>
        <w:sectPr>
          <w:headerReference r:id="rId3" w:type="default"/>
          <w:pgSz w:w="11906" w:h="16838"/>
          <w:pgMar w:top="1440" w:right="1800" w:bottom="1440" w:left="1800" w:header="851" w:footer="992" w:gutter="0"/>
          <w:cols w:space="425" w:num="1"/>
          <w:docGrid w:type="lines" w:linePitch="312" w:charSpace="0"/>
        </w:sectPr>
      </w:pPr>
    </w:p>
    <w:p>
      <w:pPr>
        <w:spacing w:before="156" w:beforeLines="50" w:after="156" w:afterLines="50" w:line="384" w:lineRule="auto"/>
        <w:jc w:val="left"/>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第一条</w:t>
      </w:r>
      <w:r>
        <w:rPr>
          <w:rFonts w:hint="eastAsia" w:ascii="仿宋_GB2312" w:hAnsi="仿宋_GB2312" w:eastAsia="仿宋_GB2312" w:cs="仿宋_GB2312"/>
          <w:b/>
          <w:bCs/>
          <w:sz w:val="32"/>
          <w:szCs w:val="32"/>
        </w:rPr>
        <w:tab/>
      </w:r>
      <w:r>
        <w:rPr>
          <w:rFonts w:hint="eastAsia" w:ascii="仿宋_GB2312" w:hAnsi="仿宋_GB2312" w:eastAsia="仿宋_GB2312" w:cs="仿宋_GB2312"/>
          <w:b/>
          <w:bCs/>
          <w:sz w:val="32"/>
          <w:szCs w:val="32"/>
        </w:rPr>
        <w:t>总则</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1.1合同主体</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甲方：</w:t>
      </w:r>
      <w:r>
        <w:rPr>
          <w:rFonts w:hint="eastAsia" w:ascii="仿宋_GB2312" w:hAnsi="仿宋_GB2312" w:eastAsia="仿宋_GB2312" w:cs="仿宋_GB2312"/>
          <w:sz w:val="32"/>
          <w:szCs w:val="32"/>
          <w:u w:val="single"/>
        </w:rPr>
        <w:t xml:space="preserve">     广州市净水有限公司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地址：</w:t>
      </w:r>
      <w:r>
        <w:rPr>
          <w:rFonts w:hint="eastAsia" w:ascii="仿宋_GB2312" w:hAnsi="仿宋_GB2312" w:eastAsia="仿宋_GB2312" w:cs="仿宋_GB2312"/>
          <w:sz w:val="32"/>
          <w:szCs w:val="32"/>
          <w:u w:val="single"/>
        </w:rPr>
        <w:t xml:space="preserve"> 广州市天河区临江大道501号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法定代表人：</w:t>
      </w:r>
      <w:r>
        <w:rPr>
          <w:rFonts w:hint="eastAsia" w:ascii="仿宋_GB2312" w:hAnsi="仿宋_GB2312" w:eastAsia="仿宋_GB2312" w:cs="仿宋_GB2312"/>
          <w:sz w:val="32"/>
          <w:szCs w:val="32"/>
          <w:u w:val="single"/>
        </w:rPr>
        <w:t xml:space="preserve">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职务：</w:t>
      </w:r>
      <w:r>
        <w:rPr>
          <w:rFonts w:hint="eastAsia" w:ascii="仿宋_GB2312" w:hAnsi="仿宋_GB2312" w:eastAsia="仿宋_GB2312" w:cs="仿宋_GB2312"/>
          <w:sz w:val="32"/>
          <w:szCs w:val="32"/>
          <w:u w:val="single"/>
        </w:rPr>
        <w:t xml:space="preserve">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乙方：</w:t>
      </w:r>
      <w:r>
        <w:rPr>
          <w:rFonts w:hint="eastAsia" w:ascii="仿宋_GB2312" w:hAnsi="仿宋_GB2312" w:eastAsia="仿宋_GB2312" w:cs="仿宋_GB2312"/>
          <w:sz w:val="32"/>
          <w:szCs w:val="32"/>
          <w:u w:val="single"/>
        </w:rPr>
        <w:t xml:space="preserve">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地址：</w:t>
      </w:r>
      <w:r>
        <w:rPr>
          <w:rFonts w:hint="eastAsia" w:ascii="仿宋_GB2312" w:hAnsi="仿宋_GB2312" w:eastAsia="仿宋_GB2312" w:cs="仿宋_GB2312"/>
          <w:sz w:val="32"/>
          <w:szCs w:val="32"/>
          <w:u w:val="single"/>
        </w:rPr>
        <w:t xml:space="preserve">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法定代表人：</w:t>
      </w:r>
      <w:r>
        <w:rPr>
          <w:rFonts w:hint="eastAsia" w:ascii="仿宋_GB2312" w:hAnsi="仿宋_GB2312" w:eastAsia="仿宋_GB2312" w:cs="仿宋_GB2312"/>
          <w:sz w:val="32"/>
          <w:szCs w:val="32"/>
          <w:u w:val="single"/>
        </w:rPr>
        <w:t xml:space="preserve">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职务：</w:t>
      </w:r>
      <w:r>
        <w:rPr>
          <w:rFonts w:hint="eastAsia" w:ascii="仿宋_GB2312" w:hAnsi="仿宋_GB2312" w:eastAsia="仿宋_GB2312" w:cs="仿宋_GB2312"/>
          <w:sz w:val="32"/>
          <w:szCs w:val="32"/>
          <w:u w:val="single"/>
        </w:rPr>
        <w:t xml:space="preserve">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1.2项目简介</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项目要求乙方在污泥深度浓缩系统及污泥脱水干化系统1条完全独立生产线（包括但不仅限于整套工艺流程中的污泥调质系统、污泥脱水系统、低温干化系统和成品污泥贮存系统，以及各环节相配套的输送设备）投加相应药剂，能满足及适应原有污泥脱水干化系统及其配套设备，对污水（污水来源：生活污水、含初雨等）处理运行所产生的污泥进行脱水、干化处理，生产出符合本合同要求的干化污泥。</w:t>
      </w:r>
    </w:p>
    <w:p>
      <w:pPr>
        <w:spacing w:before="156" w:beforeLines="50" w:after="156" w:afterLines="50" w:line="384" w:lineRule="auto"/>
        <w:jc w:val="left"/>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第二条</w:t>
      </w:r>
      <w:r>
        <w:rPr>
          <w:rFonts w:hint="eastAsia" w:ascii="仿宋_GB2312" w:hAnsi="仿宋_GB2312" w:eastAsia="仿宋_GB2312" w:cs="仿宋_GB2312"/>
          <w:b/>
          <w:bCs/>
          <w:sz w:val="32"/>
          <w:szCs w:val="32"/>
        </w:rPr>
        <w:tab/>
      </w:r>
      <w:r>
        <w:rPr>
          <w:rFonts w:hint="eastAsia" w:ascii="仿宋_GB2312" w:hAnsi="仿宋_GB2312" w:eastAsia="仿宋_GB2312" w:cs="仿宋_GB2312"/>
          <w:b/>
          <w:bCs/>
          <w:sz w:val="32"/>
          <w:szCs w:val="32"/>
        </w:rPr>
        <w:t>项目地点、试验期</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2.1项目地点</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试验地点位于西朗污水处理厂一期污泥干化车间污泥处理系统4#生产线。试验涉及的相关设备及现场条件以现场实际情况为准。</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2.2试验期</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2.2.1试验前准备工作：本次试验采取摇珠的方式确定试验顺序，甲方依照摇珠顺序及试验进程依次向试验申请人发出考核通知书。乙方应于收到通知书后15日内向甲方提供200万元履约保证金、保险合同复印件（如乙方申请甲方代买财产一切险及机器损坏险的，无需提供财产一切险及设备损坏险合同复印件）、《危险品经营许可证》及有效的易制毒备案证明（如药剂含有国家规定的危险品或剧毒品的）、风险方案等文件，否则视为乙方自愿退出试验，本合同提前终止。</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甲方确认上述材料向乙方发出入场通知书，乙方未按照入场通知书确定的时间进场的，</w:t>
      </w:r>
      <w:bookmarkStart w:id="0" w:name="_Hlk70700554"/>
      <w:r>
        <w:rPr>
          <w:rFonts w:hint="eastAsia" w:ascii="仿宋_GB2312" w:hAnsi="仿宋_GB2312" w:eastAsia="仿宋_GB2312" w:cs="仿宋_GB2312"/>
          <w:sz w:val="32"/>
          <w:szCs w:val="32"/>
        </w:rPr>
        <w:t>视为乙方自愿退出试验，本合同提前终止。</w:t>
      </w:r>
      <w:bookmarkEnd w:id="0"/>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2.2.2试验周期：乙方试验周期为</w:t>
      </w:r>
      <w:bookmarkStart w:id="1" w:name="_Hlk70693862"/>
      <w:r>
        <w:rPr>
          <w:rFonts w:hint="eastAsia" w:ascii="仿宋_GB2312" w:hAnsi="仿宋_GB2312" w:eastAsia="仿宋_GB2312" w:cs="仿宋_GB2312"/>
          <w:sz w:val="32"/>
          <w:szCs w:val="32"/>
        </w:rPr>
        <w:t>12天，自进场之日起计算，分7天考核准备期与5天正式考核期</w:t>
      </w:r>
      <w:bookmarkEnd w:id="1"/>
      <w:r>
        <w:rPr>
          <w:rFonts w:hint="eastAsia" w:ascii="仿宋_GB2312" w:hAnsi="仿宋_GB2312" w:eastAsia="仿宋_GB2312" w:cs="仿宋_GB2312"/>
          <w:sz w:val="32"/>
          <w:szCs w:val="32"/>
        </w:rPr>
        <w:t>。试验周期内，乙方自愿退出试验的，可以书面形式向甲方提出退出申请，经甲方同意后，试验周期提前结束。</w:t>
      </w:r>
    </w:p>
    <w:p>
      <w:pPr>
        <w:ind w:firstLine="640" w:firstLineChars="200"/>
        <w:jc w:val="left"/>
        <w:rPr>
          <w:rStyle w:val="20"/>
          <w:rFonts w:hint="eastAsia" w:ascii="仿宋_GB2312" w:hAnsi="仿宋_GB2312" w:eastAsia="仿宋_GB2312" w:cs="仿宋_GB2312"/>
          <w:sz w:val="32"/>
          <w:szCs w:val="32"/>
        </w:rPr>
      </w:pPr>
      <w:r>
        <w:rPr>
          <w:rFonts w:hint="eastAsia" w:ascii="仿宋_GB2312" w:hAnsi="仿宋_GB2312" w:eastAsia="仿宋_GB2312" w:cs="仿宋_GB2312"/>
          <w:sz w:val="32"/>
          <w:szCs w:val="32"/>
        </w:rPr>
        <w:t>考核准备期第1天由乙方现场确认污泥处理系统设备性能并签署《设备性能完好确认书》，乙方未签署的，视为乙方自愿退出试验，本合同提前终止。考核准备期第2-7天内若因乙方原因出现设备故障且在考核准备期内未能修复的，试验周期提前结束。</w:t>
      </w:r>
    </w:p>
    <w:p>
      <w:pPr>
        <w:ind w:firstLine="640" w:firstLineChars="200"/>
        <w:jc w:val="left"/>
        <w:rPr>
          <w:rStyle w:val="20"/>
          <w:rFonts w:hint="eastAsia" w:ascii="仿宋_GB2312" w:hAnsi="仿宋_GB2312" w:eastAsia="仿宋_GB2312" w:cs="仿宋_GB2312"/>
          <w:sz w:val="32"/>
          <w:szCs w:val="32"/>
        </w:rPr>
      </w:pPr>
      <w:r>
        <w:rPr>
          <w:rFonts w:hint="eastAsia" w:ascii="仿宋_GB2312" w:hAnsi="仿宋_GB2312" w:eastAsia="仿宋_GB2312" w:cs="仿宋_GB2312"/>
          <w:sz w:val="32"/>
          <w:szCs w:val="32"/>
        </w:rPr>
        <w:t>正式考核期共5个自然日，乙方需通过5个自然日满负荷运行，验证药剂是否可以稳定、高产量地满足生产条件。</w:t>
      </w:r>
      <w:r>
        <w:rPr>
          <w:rStyle w:val="20"/>
          <w:rFonts w:hint="eastAsia" w:ascii="仿宋_GB2312" w:hAnsi="仿宋_GB2312" w:eastAsia="仿宋_GB2312" w:cs="仿宋_GB2312"/>
          <w:sz w:val="32"/>
          <w:szCs w:val="32"/>
        </w:rPr>
        <w:t>由第三方检测单位负责检测考核工作，乙方达到考核期要求，考核通过。若乙方在此期间被判断为不通过，需立即终止试验，试验周期提前结束。</w:t>
      </w:r>
    </w:p>
    <w:p>
      <w:pPr>
        <w:ind w:firstLine="640" w:firstLineChars="200"/>
        <w:jc w:val="left"/>
        <w:rPr>
          <w:rStyle w:val="20"/>
          <w:rFonts w:hint="eastAsia" w:ascii="仿宋_GB2312" w:hAnsi="仿宋_GB2312" w:eastAsia="仿宋_GB2312" w:cs="仿宋_GB2312"/>
          <w:sz w:val="32"/>
          <w:szCs w:val="32"/>
        </w:rPr>
      </w:pPr>
      <w:r>
        <w:rPr>
          <w:rStyle w:val="20"/>
          <w:rFonts w:hint="eastAsia" w:ascii="仿宋_GB2312" w:hAnsi="仿宋_GB2312" w:eastAsia="仿宋_GB2312" w:cs="仿宋_GB2312"/>
          <w:sz w:val="32"/>
          <w:szCs w:val="32"/>
        </w:rPr>
        <w:t>2.2.3试验周期结束后，甲方对设备进行性能验证，经验证设备性能完好后，甲乙双方签署《设备性能完好确认书》，试验期结束。</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2.3项目要求</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2.3.1项目试验期间产生的所有费用（含试验耗材等）全部由乙方自行负担，由乙方独立完成在污泥深度浓缩系统的试验工作。</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2.3.2乙方在项目试验期间应严格遵守国家规定的相关法律法规，遵守设备生产规章制度和防护措施及广州市净水有限公司安全生产相关规章制度。若违反以上规定，由此造成的所有损失，均由乙方承担相关责任,且甲方有权解除合同并提取全部履约保证金。</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2.3.3乙方应对本项目试验范围内的甲方固定资产、生产、安全及乙方雇员等负全责。未经甲方同意，乙方不得进入甲方的生产场所。</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2.4项目资产权属</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2.4.1甲方提供的设备、设施、建构筑物等资产权属为甲方。</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2.4.2在试验期内，如有设备故障、设备性能下降等情况，进行更换、维修或重置等工作，所需费用由乙方承担。</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2.4.3知识产权</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（1）乙方应保证对本项目试验期内得知的，甲方生产的知识和经验、技术、工艺、设备等进行保密不外泄，否则视为违约，甲方有权提取全部履约保证金。</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（2）乙方应保证本项目中乙方使用的知识和经验、技术、工艺、设备等均不会侵犯任何第三方的权利。</w:t>
      </w:r>
      <w:r>
        <w:rPr>
          <w:rFonts w:hint="eastAsia" w:ascii="仿宋_GB2312" w:hAnsi="仿宋_GB2312" w:eastAsia="仿宋_GB2312" w:cs="仿宋_GB2312"/>
          <w:sz w:val="32"/>
          <w:szCs w:val="32"/>
        </w:rPr>
        <w:t>乙方侵犯第三方知识产权的，乙方应对由此而发生的索赔或诉讼承担全部责任，包括但不限于承担处理索赔或参加诉讼、被索赔的款项、诉讼费用、律师费用和其他法律责任，如因此造成甲方损失的，乙方承担全部赔偿责任。</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2.5履约保证金</w:t>
      </w:r>
    </w:p>
    <w:p>
      <w:pPr>
        <w:ind w:firstLine="640" w:firstLineChars="200"/>
        <w:jc w:val="left"/>
        <w:rPr>
          <w:rFonts w:hint="eastAsia" w:ascii="仿宋_GB2312" w:hAnsi="仿宋_GB2312" w:eastAsia="仿宋_GB2312" w:cs="仿宋_GB2312"/>
          <w:sz w:val="32"/>
          <w:szCs w:val="32"/>
          <w:u w:val="single"/>
        </w:rPr>
      </w:pPr>
      <w:r>
        <w:rPr>
          <w:rFonts w:hint="eastAsia" w:ascii="仿宋_GB2312" w:hAnsi="仿宋_GB2312" w:eastAsia="仿宋_GB2312" w:cs="仿宋_GB2312"/>
          <w:sz w:val="32"/>
          <w:szCs w:val="32"/>
        </w:rPr>
        <w:t>2.5.1乙方应于收到考核通知书后15日内提交履约保证金，履约保证金金额为人民币 200 万元。未按时提供的，甲方有权解除合同并要求乙方支付</w:t>
      </w:r>
      <w:r>
        <w:rPr>
          <w:rFonts w:hint="eastAsia" w:ascii="仿宋_GB2312" w:hAnsi="仿宋_GB2312" w:eastAsia="仿宋_GB2312" w:cs="仿宋_GB2312"/>
          <w:sz w:val="32"/>
          <w:szCs w:val="32"/>
          <w:u w:val="single"/>
        </w:rPr>
        <w:t xml:space="preserve"> </w:t>
      </w:r>
      <w:r>
        <w:rPr>
          <w:rFonts w:ascii="仿宋_GB2312" w:hAnsi="仿宋_GB2312" w:eastAsia="仿宋_GB2312" w:cs="仿宋_GB2312"/>
          <w:sz w:val="32"/>
          <w:szCs w:val="32"/>
          <w:u w:val="single"/>
        </w:rPr>
        <w:t>5万元</w:t>
      </w:r>
      <w:r>
        <w:rPr>
          <w:rFonts w:hint="eastAsia" w:ascii="仿宋_GB2312" w:hAnsi="仿宋_GB2312" w:eastAsia="仿宋_GB2312" w:cs="仿宋_GB2312"/>
          <w:sz w:val="32"/>
          <w:szCs w:val="32"/>
        </w:rPr>
        <w:t>作为违约金。</w:t>
      </w:r>
    </w:p>
    <w:p>
      <w:pPr>
        <w:pStyle w:val="12"/>
        <w:spacing w:before="0" w:beforeAutospacing="0" w:after="0" w:afterAutospacing="0"/>
        <w:ind w:firstLine="640" w:firstLineChars="200"/>
        <w:rPr>
          <w:rFonts w:hint="eastAsia" w:ascii="仿宋_GB2312" w:hAnsi="仿宋_GB2312" w:cs="仿宋_GB2312"/>
          <w:sz w:val="32"/>
          <w:szCs w:val="32"/>
        </w:rPr>
      </w:pPr>
      <w:r>
        <w:rPr>
          <w:rFonts w:hint="eastAsia" w:ascii="仿宋_GB2312" w:hAnsi="仿宋_GB2312" w:cs="仿宋_GB2312"/>
          <w:sz w:val="32"/>
          <w:szCs w:val="32"/>
        </w:rPr>
        <w:t>履约保证金按以下任一种形式提供：</w:t>
      </w:r>
    </w:p>
    <w:p>
      <w:pPr>
        <w:pStyle w:val="12"/>
        <w:spacing w:before="0" w:beforeAutospacing="0" w:after="0" w:afterAutospacing="0"/>
        <w:ind w:firstLine="640" w:firstLineChars="200"/>
        <w:rPr>
          <w:rFonts w:hint="eastAsia" w:ascii="仿宋_GB2312" w:hAnsi="仿宋_GB2312" w:cs="仿宋_GB2312"/>
          <w:sz w:val="32"/>
          <w:szCs w:val="32"/>
        </w:rPr>
      </w:pPr>
      <w:r>
        <w:rPr>
          <w:rFonts w:hint="eastAsia" w:ascii="仿宋_GB2312" w:hAnsi="仿宋_GB2312" w:cs="仿宋_GB2312"/>
          <w:sz w:val="32"/>
          <w:szCs w:val="32"/>
        </w:rPr>
        <w:t>1、符合甲方要求（详见附件四保函格式）的银行独立保函，</w:t>
      </w:r>
    </w:p>
    <w:p>
      <w:pPr>
        <w:pStyle w:val="12"/>
        <w:spacing w:before="0" w:beforeAutospacing="0" w:after="0" w:afterAutospacing="0"/>
        <w:ind w:firstLine="640" w:firstLineChars="200"/>
        <w:rPr>
          <w:rFonts w:hint="eastAsia" w:ascii="仿宋_GB2312" w:hAnsi="仿宋_GB2312" w:cs="仿宋_GB2312"/>
          <w:sz w:val="32"/>
          <w:szCs w:val="32"/>
        </w:rPr>
      </w:pPr>
      <w:r>
        <w:rPr>
          <w:rFonts w:hint="eastAsia" w:ascii="仿宋_GB2312" w:hAnsi="仿宋_GB2312" w:cs="仿宋_GB2312"/>
          <w:sz w:val="32"/>
          <w:szCs w:val="32"/>
        </w:rPr>
        <w:t>2、现金转账至甲方以下指定账户：</w:t>
      </w:r>
    </w:p>
    <w:p>
      <w:pPr>
        <w:tabs>
          <w:tab w:val="left" w:pos="1995"/>
        </w:tabs>
        <w:spacing w:line="360" w:lineRule="auto"/>
        <w:ind w:firstLine="640" w:firstLineChars="200"/>
        <w:jc w:val="left"/>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户名：广州市净水有限公司</w:t>
      </w:r>
    </w:p>
    <w:p>
      <w:pPr>
        <w:tabs>
          <w:tab w:val="left" w:pos="1995"/>
        </w:tabs>
        <w:spacing w:line="360" w:lineRule="auto"/>
        <w:ind w:firstLine="640" w:firstLineChars="200"/>
        <w:jc w:val="left"/>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账号：82010154900000342</w:t>
      </w:r>
    </w:p>
    <w:p>
      <w:pPr>
        <w:tabs>
          <w:tab w:val="left" w:pos="1995"/>
        </w:tabs>
        <w:spacing w:line="360" w:lineRule="auto"/>
        <w:ind w:firstLine="640" w:firstLineChars="200"/>
        <w:jc w:val="left"/>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开户行：浦发银行广州分行</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2.5.2履约保证金的担保期限和返还：</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1、担保期限：自保函开立之日（或转账到账之日）至试验期结束、双方签署第2次</w:t>
      </w:r>
      <w:r>
        <w:rPr>
          <w:rStyle w:val="20"/>
          <w:rFonts w:hint="eastAsia" w:ascii="仿宋_GB2312" w:hAnsi="仿宋_GB2312" w:eastAsia="仿宋_GB2312" w:cs="仿宋_GB2312"/>
          <w:sz w:val="32"/>
          <w:szCs w:val="32"/>
        </w:rPr>
        <w:t>《设备性能完好确认书》</w:t>
      </w:r>
      <w:r>
        <w:rPr>
          <w:rFonts w:hint="eastAsia" w:ascii="仿宋_GB2312" w:hAnsi="仿宋_GB2312" w:eastAsia="仿宋_GB2312" w:cs="仿宋_GB2312"/>
          <w:sz w:val="32"/>
          <w:szCs w:val="32"/>
        </w:rPr>
        <w:t>之日，保函的有效期不少于6个月，保证足额。</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2、履约银行保函在试验期结束、双方签署第2次</w:t>
      </w:r>
      <w:r>
        <w:rPr>
          <w:rStyle w:val="20"/>
          <w:rFonts w:hint="eastAsia" w:ascii="仿宋_GB2312" w:hAnsi="仿宋_GB2312" w:eastAsia="仿宋_GB2312" w:cs="仿宋_GB2312"/>
          <w:sz w:val="32"/>
          <w:szCs w:val="32"/>
        </w:rPr>
        <w:t>《设备性能完好确认书》</w:t>
      </w:r>
      <w:r>
        <w:rPr>
          <w:rFonts w:hint="eastAsia" w:ascii="仿宋_GB2312" w:hAnsi="仿宋_GB2312" w:eastAsia="仿宋_GB2312" w:cs="仿宋_GB2312"/>
          <w:sz w:val="32"/>
          <w:szCs w:val="32"/>
        </w:rPr>
        <w:t>之日起30天内无息返还。</w:t>
      </w:r>
    </w:p>
    <w:p>
      <w:pPr>
        <w:pStyle w:val="2"/>
        <w:ind w:firstLine="640" w:firstLineChars="200"/>
        <w:rPr>
          <w:rFonts w:hint="eastAsia" w:ascii="仿宋_GB2312" w:hAnsi="仿宋_GB2312" w:cs="仿宋_GB2312"/>
          <w:color w:val="auto"/>
          <w:sz w:val="32"/>
          <w:szCs w:val="32"/>
        </w:rPr>
      </w:pPr>
      <w:r>
        <w:rPr>
          <w:rFonts w:hint="eastAsia" w:ascii="仿宋_GB2312" w:hAnsi="仿宋_GB2312" w:cs="仿宋_GB2312"/>
          <w:color w:val="auto"/>
          <w:sz w:val="32"/>
          <w:szCs w:val="32"/>
        </w:rPr>
        <w:t>现金履约保证金的退还：试验期结束、双方签署第2次</w:t>
      </w:r>
      <w:r>
        <w:rPr>
          <w:rStyle w:val="20"/>
          <w:rFonts w:hint="eastAsia" w:ascii="仿宋_GB2312" w:hAnsi="仿宋_GB2312" w:cs="仿宋_GB2312"/>
          <w:color w:val="auto"/>
          <w:sz w:val="32"/>
          <w:szCs w:val="32"/>
        </w:rPr>
        <w:t>《设备性能完好确认书》</w:t>
      </w:r>
      <w:r>
        <w:rPr>
          <w:rFonts w:hint="eastAsia" w:ascii="仿宋_GB2312" w:hAnsi="仿宋_GB2312" w:cs="仿宋_GB2312"/>
          <w:color w:val="auto"/>
          <w:sz w:val="32"/>
          <w:szCs w:val="32"/>
        </w:rPr>
        <w:t>后，由乙方提出申请，甲方在28天内将剩余履约保证金无息返还。</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2.5.3恢复担保的数额</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甲方按本合同规定提取履约担保金额后，乙方应在收到甲方通知后</w:t>
      </w:r>
      <w:r>
        <w:rPr>
          <w:rFonts w:hint="eastAsia" w:ascii="仿宋_GB2312" w:hAnsi="仿宋_GB2312" w:eastAsia="仿宋_GB2312" w:cs="仿宋_GB2312"/>
          <w:sz w:val="32"/>
          <w:szCs w:val="32"/>
          <w:u w:val="single"/>
        </w:rPr>
        <w:t>7</w:t>
      </w:r>
      <w:r>
        <w:rPr>
          <w:rFonts w:hint="eastAsia" w:ascii="仿宋_GB2312" w:hAnsi="仿宋_GB2312" w:eastAsia="仿宋_GB2312" w:cs="仿宋_GB2312"/>
          <w:sz w:val="32"/>
          <w:szCs w:val="32"/>
        </w:rPr>
        <w:t>日内补足数额，逾期未补足的，则甲方有权提取履约保证金的全部余额并解除合同。</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2.5.4延长担保期限。在银行保函到期前，乙方应提前</w:t>
      </w:r>
      <w:r>
        <w:rPr>
          <w:rFonts w:hint="eastAsia" w:ascii="仿宋_GB2312" w:hAnsi="仿宋_GB2312" w:eastAsia="仿宋_GB2312" w:cs="仿宋_GB2312"/>
          <w:sz w:val="32"/>
          <w:szCs w:val="32"/>
          <w:u w:val="single"/>
        </w:rPr>
        <w:t xml:space="preserve"> 7 </w:t>
      </w:r>
      <w:r>
        <w:rPr>
          <w:rFonts w:hint="eastAsia" w:ascii="仿宋_GB2312" w:hAnsi="仿宋_GB2312" w:eastAsia="仿宋_GB2312" w:cs="仿宋_GB2312"/>
          <w:sz w:val="32"/>
          <w:szCs w:val="32"/>
        </w:rPr>
        <w:t>日向甲方提交新的保函以替换即将到期的保函。如乙方未及时提交的，甲方有权直接要求担保银行支付其担保的全部金额并解除合同。</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2.6保险</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2.6.1甲方无义务为本项目购买保险。</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2.6.2乙方在项目进场前应当购买保险，包括但不限于财产一切险及机器损坏险、工伤保险、社会保险、人身意外伤害保险等保险有效期应至试验期结束。</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其中财产一切险及机器损坏险的保额应各不低于1000万元，甲方可配合提供相关资料（涉及保密范围的信息除外）。若需甲方代为购买财产一切险及机器损坏险的，乙方应于收到考核通知书后3天内向甲方提出书面申请（乙方应明确指定保险公司，否则视为同意由甲方自主选定），所需费用由乙方承担，并由甲方直接于履约保证金中扣除。</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2.6.3乙方购买财产一切险及机器损坏险等应当以甲方作为被保险人进行投保；乙方购买工伤保险、社会保险、人身意外伤害保险等应当以乙方雇员作为被保险人进行投保。</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2.6.4保险事故和保险理赔:</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(1)保险事项的事故发生时，合同双方均有责任努力采取必要措施，防止损失、损害的扩大。</w:t>
      </w:r>
    </w:p>
    <w:p>
      <w:pPr>
        <w:ind w:firstLine="640" w:firstLineChars="200"/>
        <w:jc w:val="left"/>
        <w:rPr>
          <w:rFonts w:hint="eastAsia" w:ascii="仿宋_GB2312" w:hAnsi="仿宋_GB2312" w:eastAsia="仿宋_GB2312" w:cs="仿宋_GB2312"/>
          <w:sz w:val="32"/>
          <w:szCs w:val="32"/>
        </w:rPr>
      </w:pPr>
      <w:bookmarkStart w:id="2" w:name="OLE_LINK1"/>
      <w:r>
        <w:rPr>
          <w:rFonts w:hint="eastAsia" w:ascii="仿宋_GB2312" w:hAnsi="仿宋_GB2312" w:eastAsia="仿宋_GB2312" w:cs="仿宋_GB2312"/>
          <w:sz w:val="32"/>
          <w:szCs w:val="32"/>
        </w:rPr>
        <w:t>(2)当保险事故发生后，乙方应负责准备保险理赔资料或证明，并履行保险合同中被保险人的其他义务。</w:t>
      </w:r>
      <w:bookmarkEnd w:id="2"/>
      <w:r>
        <w:rPr>
          <w:rFonts w:hint="eastAsia" w:ascii="仿宋_GB2312" w:hAnsi="仿宋_GB2312" w:eastAsia="仿宋_GB2312" w:cs="仿宋_GB2312"/>
          <w:sz w:val="32"/>
          <w:szCs w:val="32"/>
        </w:rPr>
        <w:t>如理赔被拒绝或理赔不足,则该部分未理赔或理赔不足的损失由乙方承担。</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(3)保险赔付必须用于项目的对应损失和项目设施的修复及重置。</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(4)未经甲方同意，乙方不得对保险合同的重要条款(包括但不限于保险范围、责任限制以及免赔范围等)做出实质性变更。</w:t>
      </w:r>
    </w:p>
    <w:p>
      <w:pPr>
        <w:spacing w:before="156" w:beforeLines="50" w:after="156" w:afterLines="50" w:line="384" w:lineRule="auto"/>
        <w:jc w:val="left"/>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第三条 定义与解释</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达标含水率：指乙方对污水处理运行所产生的脱水污泥进行干化处理，处理后污泥含水率要求为 30%≤含水率≤40%。</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污泥干基：含水率为 0 的污泥。</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干化污泥：含水率为 30%≤含水率≤40%的污泥。</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试验期：自本合同生效之日起，至甲乙双方签署第2次</w:t>
      </w:r>
      <w:r>
        <w:rPr>
          <w:rStyle w:val="20"/>
          <w:rFonts w:hint="eastAsia" w:ascii="仿宋_GB2312" w:hAnsi="仿宋_GB2312" w:eastAsia="仿宋_GB2312" w:cs="仿宋_GB2312"/>
          <w:sz w:val="32"/>
          <w:szCs w:val="32"/>
        </w:rPr>
        <w:t>《设备性能完好确认书》</w:t>
      </w:r>
      <w:r>
        <w:rPr>
          <w:rFonts w:hint="eastAsia" w:ascii="仿宋_GB2312" w:hAnsi="仿宋_GB2312" w:eastAsia="仿宋_GB2312" w:cs="仿宋_GB2312"/>
          <w:sz w:val="32"/>
          <w:szCs w:val="32"/>
        </w:rPr>
        <w:t>。</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试验周期：共计12天，自乙方进场之日起算，分7天考核准备期与5天正式考核期。</w:t>
      </w:r>
    </w:p>
    <w:p>
      <w:pPr>
        <w:pStyle w:val="2"/>
        <w:ind w:firstLine="640" w:firstLineChars="200"/>
        <w:rPr>
          <w:rFonts w:hint="eastAsia" w:ascii="仿宋_GB2312" w:hAnsi="仿宋_GB2312" w:cs="仿宋_GB2312"/>
          <w:color w:val="auto"/>
          <w:sz w:val="32"/>
          <w:szCs w:val="32"/>
        </w:rPr>
      </w:pPr>
      <w:r>
        <w:rPr>
          <w:rFonts w:hint="eastAsia" w:ascii="仿宋_GB2312" w:hAnsi="仿宋_GB2312" w:cs="仿宋_GB2312"/>
          <w:color w:val="auto"/>
          <w:sz w:val="32"/>
          <w:szCs w:val="32"/>
        </w:rPr>
        <w:t>设备：指西朗污水处理厂一期污泥干化车间的污泥深度浓缩系统及污泥脱水干化系统1条完全独立生产线中的全部设备，包括但不仅限于整套工艺流程中的污泥调质系统、污泥脱水系统、低温干化系统和成品污泥贮存系统，以及各环节相配套的输送设备。</w:t>
      </w:r>
    </w:p>
    <w:p>
      <w:pPr>
        <w:spacing w:before="156" w:beforeLines="50" w:after="156" w:afterLines="50" w:line="384" w:lineRule="auto"/>
        <w:jc w:val="left"/>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第四条 双方的一般义务</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4.1甲方的一般义务</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4.1.1乙方严格依据本合同约定或相关法律法规的规定履行本合同义务且无任何违约行为的前提下，甲方不得在合同履行期间将本合同项目的试验权授予第三方。</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4.1.2甲方免费提供污泥样品。样品仅供参考，甲方不保证样品具有代表性，对于试验期的泥质变化不承担任何责任；</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4.2乙方的一般义务</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4.2.1乙方应按本合同的全部约定、规范及相关法律法规，履行包括但不限于以下义务：</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(1)按照国家及地方有关标准规范的要求做好项目的环境保护工作；</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(2)公共健康和安全的维护；</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(3)遵守劳动保护法律法规和地方有关规章，最大限度地保护劳动者的合法权益，不得拖欠人员薪酬；</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(4)不得拖欠供货商货款。</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4.2.2乙方应遵守国家和项目所在地有关的生产技术规范和标准、环境管理、环境保护的有关规章。试验期内，如无法定或本合同约定的条件，乙方不得自行停止、中止、终止项目，亦不得单方面解除本合同。如乙方未能履行上述义务，由此产生的一切损失由乙方承担。</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4.2.3乙方应采取一切合理措施来避免或尽量减少对设施、建筑物和居民区的妨碍。如有妨碍，由乙方负责排除和解决。如乙方未能履行上述义务，由此产生的一切损失由乙方承担。</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4.2.4乙方应对其承包商和承包商雇员的行为负责，这些行为视同为乙方的行为。</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4.2.5乙方应按照适用的法律和法规缴纳其应付的税费。</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4.2.6乙方应完全、严格履行征集文件的全部内容。</w:t>
      </w:r>
    </w:p>
    <w:p>
      <w:pPr>
        <w:pStyle w:val="2"/>
        <w:ind w:firstLine="640" w:firstLineChars="200"/>
        <w:jc w:val="both"/>
        <w:rPr>
          <w:rFonts w:hint="eastAsia" w:ascii="仿宋_GB2312" w:hAnsi="仿宋_GB2312" w:cs="仿宋_GB2312"/>
          <w:color w:val="auto"/>
          <w:sz w:val="32"/>
          <w:szCs w:val="32"/>
        </w:rPr>
      </w:pPr>
      <w:r>
        <w:rPr>
          <w:rFonts w:hint="eastAsia" w:ascii="仿宋_GB2312" w:hAnsi="仿宋_GB2312" w:cs="仿宋_GB2312"/>
          <w:color w:val="auto"/>
          <w:sz w:val="32"/>
          <w:szCs w:val="32"/>
        </w:rPr>
        <w:t>4.2.7对甲方提供的污泥样品，乙方保证仅用于污泥调理试验，不做其它用途，且不会以任何方式向外界公布或透露涉及到的数据，如有违反，愿承担一切责任。</w:t>
      </w:r>
    </w:p>
    <w:p>
      <w:pPr>
        <w:spacing w:before="156" w:beforeLines="50" w:after="156" w:afterLines="50" w:line="384" w:lineRule="auto"/>
        <w:jc w:val="left"/>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第五条</w:t>
      </w:r>
      <w:r>
        <w:rPr>
          <w:rFonts w:hint="eastAsia" w:ascii="仿宋_GB2312" w:hAnsi="仿宋_GB2312" w:eastAsia="仿宋_GB2312" w:cs="仿宋_GB2312"/>
          <w:b/>
          <w:bCs/>
          <w:sz w:val="32"/>
          <w:szCs w:val="32"/>
        </w:rPr>
        <w:tab/>
      </w:r>
      <w:r>
        <w:rPr>
          <w:rFonts w:hint="eastAsia" w:ascii="仿宋_GB2312" w:hAnsi="仿宋_GB2312" w:eastAsia="仿宋_GB2312" w:cs="仿宋_GB2312"/>
          <w:b/>
          <w:bCs/>
          <w:sz w:val="32"/>
          <w:szCs w:val="32"/>
        </w:rPr>
        <w:t>试验效果要求</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5.1污泥出泥指标</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（1）处理后的污泥含水率标准为30%≤含水率≤40%；</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（2）处理后的污泥PH值标准为5-10（含5、10）；</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（3）处理后污泥的重金属(铬、汞、镍、铅、砷、铜、锌和镉)含量不能高于处理前污泥重金属含量；</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（4）污泥（重量）减量比≥60%（以进泥含水率80%计）；</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（5）处理后的污泥氯离子浓度标准为≤0.55╳10</w:t>
      </w:r>
      <w:r>
        <w:rPr>
          <w:rFonts w:hint="eastAsia" w:ascii="仿宋_GB2312" w:hAnsi="仿宋_GB2312" w:eastAsia="仿宋_GB2312" w:cs="仿宋_GB2312"/>
          <w:sz w:val="32"/>
          <w:szCs w:val="32"/>
          <w:vertAlign w:val="superscript"/>
        </w:rPr>
        <w:t>4</w:t>
      </w:r>
      <w:r>
        <w:rPr>
          <w:rFonts w:hint="eastAsia" w:ascii="仿宋_GB2312" w:hAnsi="仿宋_GB2312" w:eastAsia="仿宋_GB2312" w:cs="仿宋_GB2312"/>
          <w:sz w:val="32"/>
          <w:szCs w:val="32"/>
        </w:rPr>
        <w:t xml:space="preserve"> mg/kg（以干污泥质量计）；</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（6）处理后的污泥颗粒度标准为采用筛孔直径为30mm的圆孔试验筛，筛上物质量比例＜20%，采用筛孔直径为50mm的圆孔试验筛，不应存在筛上物。</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（7）正式考核期120小时内污泥干基（含水率为0的污泥）产量不低于37.5吨，日均不低于7.5吨。</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5.2试验判定方法</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5.2.1本项目对乙方试验期的试验判定方法具体详见合同附件</w:t>
      </w:r>
      <w:r>
        <w:rPr>
          <w:rFonts w:hint="eastAsia" w:ascii="仿宋_GB2312" w:hAnsi="仿宋_GB2312" w:eastAsia="仿宋_GB2312" w:cs="仿宋_GB2312"/>
          <w:b/>
          <w:bCs/>
          <w:sz w:val="32"/>
          <w:szCs w:val="32"/>
        </w:rPr>
        <w:t>《生产性试验方案》</w:t>
      </w:r>
      <w:r>
        <w:rPr>
          <w:rFonts w:hint="eastAsia" w:ascii="仿宋_GB2312" w:hAnsi="仿宋_GB2312" w:eastAsia="仿宋_GB2312" w:cs="仿宋_GB2312"/>
          <w:sz w:val="32"/>
          <w:szCs w:val="32"/>
        </w:rPr>
        <w:t>。正式考核期期间，乙方应</w:t>
      </w:r>
      <w:r>
        <w:rPr>
          <w:rFonts w:hint="eastAsia" w:ascii="仿宋_GB2312" w:hAnsi="仿宋_GB2312" w:eastAsia="仿宋_GB2312" w:cs="仿宋_GB2312"/>
          <w:kern w:val="0"/>
          <w:sz w:val="32"/>
          <w:szCs w:val="32"/>
        </w:rPr>
        <w:t>5天内平均每日处理干基量≥7.5吨/天</w:t>
      </w:r>
      <w:r>
        <w:rPr>
          <w:rFonts w:hint="eastAsia" w:ascii="仿宋_GB2312" w:hAnsi="仿宋_GB2312" w:eastAsia="仿宋_GB2312" w:cs="仿宋_GB2312"/>
          <w:sz w:val="32"/>
          <w:szCs w:val="32"/>
        </w:rPr>
        <w:t>，出泥指标满足5.1条污泥出泥指标的要求。</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含水率、重金属（铬、汞、镍、铅、砷、铜、锌、镉）、pH、氯离子浓度、干化出泥颗粒度、污泥减量比及5日产量等指标的判定由甲方委托的第三方检测单位进场采样并</w:t>
      </w:r>
      <w:r>
        <w:rPr>
          <w:rFonts w:ascii="仿宋_GB2312" w:hAnsi="仿宋_GB2312" w:eastAsia="仿宋_GB2312" w:cs="仿宋_GB2312"/>
          <w:sz w:val="32"/>
          <w:szCs w:val="32"/>
        </w:rPr>
        <w:t>进行检测，检测费由甲方承担。考核结果以委托检测单位出具的检测报告为准，双方均不得提出异议</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5.2.2根据《生产性试验方案》判定试验考核不合格的，本次试验立即终止，试验周期结束。</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5.2.3污泥的后续处置：污泥后续处置由甲方负责。</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5.3乙方的主要责任</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5.3.1对试验过程中产生的其它废弃物，必须按国家及地方政府有关规定进行处理、排放，不得造成污染及危害公共安全，若出现造成污染及危害公共安全事件，所产生的所有责任及相应费用由乙方承担。</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5.3.2在合同履行期间内，若发生安全生产事故，由乙方承担相关损失及责任，同时乙方应按法律法规及时向安监部门和甲方报告。</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5.3.3乙方在试验期间每批次进厂的所有药剂的数量和品种，需向甲方报备，报备资料包括但不限于：送货清单、检验合格证等；乙方在试验期间涉及药剂或配方变更，须报甲方同意后方可执行。</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5.3.4乙方需在试验前确认现场条件，包括但不限于：进泥泥质波动范围、设备参数、设备运行状态；对于设备耗件（如滤布等）有特殊需求的，在甲方同意的前提下，乙方可自费更换。</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5.3.5乙方所使用的药剂若含有国家规定的危险品或剧毒品，必须提供对应的有效的《危险品经营许可证》及有效的易制毒备案证明，并确保药剂不带有残余污染。滤液在不对污水处理生产线安全稳定运行造成影响的前提下，经甲方确认后可直接排放至厂区进水提升泵房，试验期间甲方有权对药剂进行抽检，发现药剂不符合安全数据说明书要求的，由乙方负责更换合格药剂，原药剂涉及的试验结果作废。</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5.3.6在整个试验期间，乙方自行承担费用和风险，</w:t>
      </w:r>
      <w:r>
        <w:rPr>
          <w:rFonts w:hint="eastAsia" w:ascii="仿宋_GB2312" w:hAnsi="仿宋_GB2312" w:eastAsia="仿宋_GB2312" w:cs="仿宋_GB2312"/>
          <w:kern w:val="0"/>
          <w:sz w:val="32"/>
          <w:szCs w:val="32"/>
        </w:rPr>
        <w:t>乙方已确认在试验前设备性能完好，在试验期</w:t>
      </w:r>
      <w:r>
        <w:rPr>
          <w:rFonts w:hint="eastAsia" w:ascii="仿宋_GB2312" w:hAnsi="仿宋_GB2312" w:eastAsia="仿宋_GB2312" w:cs="仿宋_GB2312"/>
          <w:sz w:val="32"/>
          <w:szCs w:val="32"/>
        </w:rPr>
        <w:t>发生的一切设备损坏问题均由乙方承担维修费用。</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5.4乙方的违约和费用扣减</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5.4.1乙方违反国家、省、市、甲方相关规定及本合同约定，导致人员重伤、死亡、财产重大损失等安全事故的，乙方应承担全部损失和相关责任，并向甲方支付违约金人民币100万元/次；乙方在接受政府部门或甲方组织的安全生产检查中不合格项目和安全隐患等必须在规定的或甲方要求的时间内整改完成，否则每拖延一天支付违约金人民币2万元，直至整改合格。</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5.4.2若乙方未能按照合同约定完成工作内容的，甲方有权委托第三方代为履行，所需费用直接从履约保证金中扣除。</w:t>
      </w:r>
    </w:p>
    <w:p>
      <w:pPr>
        <w:pStyle w:val="2"/>
        <w:ind w:firstLine="640" w:firstLineChars="200"/>
        <w:rPr>
          <w:rFonts w:hint="eastAsia" w:ascii="仿宋_GB2312" w:hAnsi="仿宋_GB2312" w:cs="仿宋_GB2312"/>
          <w:color w:val="auto"/>
          <w:sz w:val="32"/>
          <w:szCs w:val="32"/>
        </w:rPr>
      </w:pPr>
      <w:r>
        <w:rPr>
          <w:rFonts w:hint="eastAsia" w:ascii="仿宋_GB2312" w:hAnsi="仿宋_GB2312" w:cs="仿宋_GB2312"/>
          <w:color w:val="auto"/>
          <w:sz w:val="32"/>
          <w:szCs w:val="32"/>
        </w:rPr>
        <w:t>5.4.3乙方已充分了解本项目的设备状况和处理工艺，除本合同另有约定外，不得以任何原因（如现场条件、设备性能、考核方式、进泥泥质、甲方人员操作等）对考核结果提出质疑或要求甲方减免其责任。</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5.5设备的维护、维修:</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如有任何设备在试验期内出现异常或损坏等情况，乙方应立即通知甲方，甲方委托设备维修单位进行维修，全部维修费用由乙方承担（具体费用以设备维修单位报价为准）。如乙方不支付该维修费用，甲方有权从履约保证金中直接提取。</w:t>
      </w:r>
    </w:p>
    <w:p>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5.6试验期的计量、费用分担</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5.6.1在试验期中，除电、水、中水、污泥后续处置、样品检测由甲方提供并承担其费用，其余在试验期所产生的所有费用均由乙方负责。</w:t>
      </w:r>
    </w:p>
    <w:p>
      <w:pPr>
        <w:spacing w:before="156" w:beforeLines="50" w:after="156" w:afterLines="50" w:line="384" w:lineRule="auto"/>
        <w:jc w:val="left"/>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第六条</w:t>
      </w:r>
      <w:r>
        <w:rPr>
          <w:rFonts w:hint="eastAsia" w:ascii="仿宋_GB2312" w:hAnsi="仿宋_GB2312" w:eastAsia="仿宋_GB2312" w:cs="仿宋_GB2312"/>
          <w:b/>
          <w:bCs/>
          <w:sz w:val="32"/>
          <w:szCs w:val="32"/>
        </w:rPr>
        <w:tab/>
      </w:r>
      <w:r>
        <w:rPr>
          <w:rFonts w:hint="eastAsia" w:ascii="仿宋_GB2312" w:hAnsi="仿宋_GB2312" w:eastAsia="仿宋_GB2312" w:cs="仿宋_GB2312"/>
          <w:b/>
          <w:bCs/>
          <w:sz w:val="32"/>
          <w:szCs w:val="32"/>
        </w:rPr>
        <w:t>法律的适用及争议的解决方式</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6.1法律的适用及争议的解决方式</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6.1.1本合同的订立、履行、解释及争议的解决均适用中华人民共和国法律。</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6.1.2双方在履行本合同过程中应本着诚实信用原则，有任何争议及分歧均应友好协商。</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6.1.3若双方未能经协商解决争端的，任何一方均可将该争议提交甲方所在地人民法院判决。</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6.2在协商、调解、诉讼期间，除发生争议的事项外，合同其他部分应该继续履行。</w:t>
      </w:r>
    </w:p>
    <w:p>
      <w:pPr>
        <w:spacing w:before="156" w:beforeLines="50" w:after="156" w:afterLines="50" w:line="384" w:lineRule="auto"/>
        <w:jc w:val="left"/>
        <w:rPr>
          <w:rFonts w:hint="eastAsia" w:ascii="仿宋_GB2312" w:hAnsi="仿宋_GB2312" w:eastAsia="仿宋_GB2312" w:cs="仿宋_GB2312"/>
          <w:sz w:val="32"/>
          <w:szCs w:val="32"/>
        </w:rPr>
      </w:pPr>
      <w:bookmarkStart w:id="3" w:name="_Toc183666531"/>
      <w:bookmarkStart w:id="4" w:name="_Toc520190040"/>
      <w:bookmarkStart w:id="5" w:name="_Toc474245226"/>
      <w:bookmarkStart w:id="6" w:name="_Toc306350467"/>
      <w:bookmarkStart w:id="7" w:name="_Toc107446862"/>
      <w:bookmarkStart w:id="8" w:name="_Toc107447255"/>
      <w:bookmarkStart w:id="9" w:name="_Toc518993000"/>
      <w:bookmarkStart w:id="10" w:name="_Toc19692"/>
      <w:r>
        <w:rPr>
          <w:rFonts w:hint="eastAsia" w:ascii="仿宋_GB2312" w:hAnsi="仿宋_GB2312" w:eastAsia="仿宋_GB2312" w:cs="仿宋_GB2312"/>
          <w:b/>
          <w:bCs/>
          <w:sz w:val="32"/>
          <w:szCs w:val="32"/>
        </w:rPr>
        <w:t>第七条不可抗力</w:t>
      </w:r>
      <w:bookmarkEnd w:id="3"/>
      <w:bookmarkEnd w:id="4"/>
      <w:bookmarkEnd w:id="5"/>
      <w:bookmarkEnd w:id="6"/>
      <w:bookmarkEnd w:id="7"/>
      <w:bookmarkEnd w:id="8"/>
      <w:bookmarkEnd w:id="9"/>
      <w:bookmarkEnd w:id="10"/>
    </w:p>
    <w:p>
      <w:pPr>
        <w:widowControl/>
        <w:autoSpaceDE w:val="0"/>
        <w:autoSpaceDN w:val="0"/>
        <w:adjustRightInd w:val="0"/>
        <w:spacing w:line="384" w:lineRule="auto"/>
        <w:ind w:firstLine="640" w:firstLineChars="200"/>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7.1任何一方因不可抗力无法全部或部分履行其在本合同项下的义务时，该方有权全部或部分中止履行本合同项下的义务，并不承担违约责任。不可抗力是指合同当事人在签订本合同时不可预见，在合同履行过程中不可避免且不能克服的客观情况，包括：</w:t>
      </w:r>
    </w:p>
    <w:p>
      <w:pPr>
        <w:widowControl/>
        <w:autoSpaceDE w:val="0"/>
        <w:autoSpaceDN w:val="0"/>
        <w:adjustRightInd w:val="0"/>
        <w:spacing w:line="384" w:lineRule="auto"/>
        <w:ind w:firstLine="640" w:firstLineChars="200"/>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（1）地震、火山爆发、滑坡、暴雨（橙色预警及以上）、台风（黄色预警及以上）、海啸、龙卷风、大面积流行病(如：非典型性肺炎等)或瘟疫；</w:t>
      </w:r>
    </w:p>
    <w:p>
      <w:pPr>
        <w:widowControl/>
        <w:autoSpaceDE w:val="0"/>
        <w:autoSpaceDN w:val="0"/>
        <w:adjustRightInd w:val="0"/>
        <w:spacing w:line="384" w:lineRule="auto"/>
        <w:ind w:firstLine="640" w:firstLineChars="200"/>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（2）战争行为、入侵、武装冲突或外敌行为、封锁、暴乱、恐怖行为或军事演习、政府行为；</w:t>
      </w:r>
    </w:p>
    <w:p>
      <w:pPr>
        <w:widowControl/>
        <w:autoSpaceDE w:val="0"/>
        <w:autoSpaceDN w:val="0"/>
        <w:adjustRightInd w:val="0"/>
        <w:spacing w:line="384" w:lineRule="auto"/>
        <w:ind w:firstLine="640" w:firstLineChars="200"/>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7.2声称受到不可抗力影响的一方，应在发生不可抗力或知道发生不可抗力之后5日内书面通知另一方，详细描述不可抗力的发生情况和对该方履行在本合同项下义务的影响，同时附上此种不可抗力事件及其持续时间的有效证明文件。</w:t>
      </w:r>
    </w:p>
    <w:p>
      <w:pPr>
        <w:widowControl/>
        <w:autoSpaceDE w:val="0"/>
        <w:autoSpaceDN w:val="0"/>
        <w:adjustRightInd w:val="0"/>
        <w:spacing w:line="384" w:lineRule="auto"/>
        <w:ind w:firstLine="640" w:firstLineChars="200"/>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7.3因不可抗力导致合同无法履行的时间自该不可抗力发生日起连续超过玖拾(90)天，双方应协商决定继续履行本合同的条件或者变更本合同。如果自不可抗力发生后壹佰捌拾(180)天之内双方不能达成一致意见，任何一方有权解除本合同。</w:t>
      </w:r>
    </w:p>
    <w:p>
      <w:pPr>
        <w:spacing w:line="384" w:lineRule="auto"/>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7.4双方同意采取一切合理的预防措施和及时的补救措施，尽可能减轻不可抗力事件带来的后果。受到不可抗力影响的一方应尽合理的努力减少不可抗力的影响，包括为采取有效的措施支付合理的金额。双方应协商制定并实施补救计划及合理的替代措施以消除不可抗力，并决定为减少不可抗力给每一方带来的损失应采取的合理的手段。但因受到不可抗力影响的一方采取措施不当，未尽合理的努力减少不可抗力的影响，造成损失扩大的，由有责任的一方承担扩大部分的损失。声称不可抗力的一方在不可抗力消除之后应尽快恢复履行本合同项下的义务。</w:t>
      </w:r>
    </w:p>
    <w:p>
      <w:pPr>
        <w:spacing w:before="156" w:beforeLines="50" w:after="156" w:afterLines="50" w:line="384" w:lineRule="auto"/>
        <w:jc w:val="left"/>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第八条</w:t>
      </w:r>
      <w:r>
        <w:rPr>
          <w:rFonts w:hint="eastAsia" w:ascii="仿宋_GB2312" w:hAnsi="仿宋_GB2312" w:eastAsia="仿宋_GB2312" w:cs="仿宋_GB2312"/>
          <w:b/>
          <w:bCs/>
          <w:sz w:val="32"/>
          <w:szCs w:val="32"/>
        </w:rPr>
        <w:tab/>
      </w:r>
      <w:r>
        <w:rPr>
          <w:rFonts w:hint="eastAsia" w:ascii="仿宋_GB2312" w:hAnsi="仿宋_GB2312" w:eastAsia="仿宋_GB2312" w:cs="仿宋_GB2312"/>
          <w:b/>
          <w:bCs/>
          <w:sz w:val="32"/>
          <w:szCs w:val="32"/>
        </w:rPr>
        <w:t>其它</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8.1未尽事宜</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本合同没有规定或者规定不明的有关事宜，由双方本着平等互利、诚信合作的原则根据当时有效的法律协商解决。</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8.2签署</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本合同壹(1)式捌(8)份，甲方和乙方各持肆(4)份。具有同等法律效力。本合同自双方授权代表签名盖章后生效。</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8.3本合同中的天数均是指自然日。</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8.4乙方代表</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姓名：</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身份证号：</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职务：</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联系电话：</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电子邮箱：</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通信地址：</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乙方代表负责处理合同履行过程中的具体事宜，乙方代表的行为由乙方承担法律责任。</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乙方更换乙方代表的，应提前5天将更换人的上述信息书面通知甲方。</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乙方代表不能履行其职责及义务，影响合同履行的，甲方可以要求乙方撤换。</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8.5合同附件</w:t>
      </w:r>
    </w:p>
    <w:p>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本合同附件是合同不可分割的一部分，具有相同的法律效力，具体附件如下：</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附件一：廉洁协议</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附件二：安全管理协议 </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附件三：保密协议</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附件四：履约保函（模板）</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附件五：生产性试验方案</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甲方：（盖章）                   乙方：（盖章）</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法定代表人/授权代理人：         法定代表人/授权代理人：</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联系人：                        联系人：</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地址：                          地址：</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邮政编码：                      邮政编码： </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传真：                          传真： </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开户行：                        开户行： </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账号：                          账号：</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签定日期：   年   月   日       签定日期：   年   月   日</w:t>
      </w:r>
    </w:p>
    <w:p>
      <w:pPr>
        <w:rPr>
          <w:rFonts w:hint="eastAsia" w:ascii="仿宋" w:hAnsi="仿宋" w:eastAsia="仿宋" w:cs="仿宋"/>
          <w:sz w:val="24"/>
        </w:rPr>
      </w:pPr>
      <w:r>
        <w:rPr>
          <w:rFonts w:ascii="仿宋" w:hAnsi="仿宋" w:eastAsia="仿宋" w:cs="仿宋"/>
          <w:sz w:val="24"/>
        </w:rPr>
        <w:br w:type="page"/>
      </w:r>
    </w:p>
    <w:p>
      <w:pPr>
        <w:rPr>
          <w:rFonts w:hint="eastAsia" w:ascii="仿宋" w:hAnsi="仿宋" w:eastAsia="仿宋" w:cs="仿宋"/>
          <w:sz w:val="30"/>
          <w:szCs w:val="30"/>
        </w:rPr>
      </w:pPr>
      <w:r>
        <w:rPr>
          <w:rFonts w:hint="eastAsia" w:ascii="仿宋" w:hAnsi="仿宋" w:eastAsia="仿宋" w:cs="仿宋"/>
          <w:sz w:val="30"/>
          <w:szCs w:val="30"/>
        </w:rPr>
        <w:t>附件一</w:t>
      </w:r>
    </w:p>
    <w:p>
      <w:pPr>
        <w:spacing w:line="360" w:lineRule="auto"/>
        <w:jc w:val="center"/>
        <w:rPr>
          <w:rFonts w:hint="eastAsia" w:ascii="方正小标宋简体" w:hAnsi="方正小标宋简体" w:eastAsia="方正小标宋简体" w:cs="方正小标宋简体"/>
          <w:bCs/>
          <w:sz w:val="32"/>
          <w:szCs w:val="32"/>
        </w:rPr>
      </w:pPr>
      <w:r>
        <w:rPr>
          <w:rFonts w:hint="eastAsia" w:ascii="方正小标宋简体" w:hAnsi="方正小标宋简体" w:eastAsia="方正小标宋简体" w:cs="方正小标宋简体"/>
          <w:bCs/>
          <w:sz w:val="32"/>
          <w:szCs w:val="32"/>
        </w:rPr>
        <w:t>廉洁协议</w:t>
      </w:r>
    </w:p>
    <w:p>
      <w:pPr>
        <w:pStyle w:val="2"/>
      </w:pPr>
    </w:p>
    <w:p>
      <w:pPr>
        <w:spacing w:line="360" w:lineRule="auto"/>
        <w:ind w:firstLine="540" w:firstLineChars="225"/>
        <w:rPr>
          <w:rFonts w:hint="eastAsia" w:ascii="仿宋_GB2312" w:hAnsi="仿宋_GB2312" w:eastAsia="仿宋_GB2312" w:cs="仿宋_GB2312"/>
          <w:bCs/>
          <w:sz w:val="24"/>
        </w:rPr>
      </w:pPr>
      <w:r>
        <w:rPr>
          <w:rFonts w:hint="eastAsia" w:ascii="仿宋_GB2312" w:hAnsi="仿宋_GB2312" w:eastAsia="仿宋_GB2312" w:cs="仿宋_GB2312"/>
          <w:bCs/>
          <w:sz w:val="24"/>
        </w:rPr>
        <w:t>为促进双方诚信经营、廉洁从业，防范商业贿赂，保护国家、集体和当事人的合法权益，根据国家有关法律法规和广东省、广州市廉政建设的规定，</w:t>
      </w:r>
      <w:r>
        <w:rPr>
          <w:rFonts w:hint="eastAsia" w:ascii="仿宋_GB2312" w:hAnsi="仿宋_GB2312" w:eastAsia="仿宋_GB2312" w:cs="仿宋_GB2312"/>
          <w:bCs/>
          <w:sz w:val="24"/>
          <w:u w:val="single"/>
        </w:rPr>
        <w:t>广州市净水有限公司</w:t>
      </w:r>
      <w:r>
        <w:rPr>
          <w:rFonts w:hint="eastAsia" w:ascii="仿宋_GB2312" w:hAnsi="仿宋_GB2312" w:eastAsia="仿宋_GB2312" w:cs="仿宋_GB2312"/>
          <w:bCs/>
          <w:sz w:val="24"/>
        </w:rPr>
        <w:t>(以下称甲方)与</w:t>
      </w:r>
      <w:r>
        <w:rPr>
          <w:rFonts w:hint="eastAsia" w:ascii="仿宋_GB2312" w:hAnsi="仿宋_GB2312" w:eastAsia="仿宋_GB2312" w:cs="仿宋_GB2312"/>
          <w:bCs/>
          <w:sz w:val="24"/>
          <w:u w:val="single"/>
        </w:rPr>
        <w:t xml:space="preserve">          </w:t>
      </w:r>
      <w:r>
        <w:rPr>
          <w:rFonts w:hint="eastAsia" w:ascii="仿宋_GB2312" w:hAnsi="仿宋_GB2312" w:eastAsia="仿宋_GB2312" w:cs="仿宋_GB2312"/>
          <w:bCs/>
          <w:sz w:val="24"/>
        </w:rPr>
        <w:t>(以下称乙方)，特此订立本协议共同遵照执行。</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第一条 甲乙双方的权利和义务</w:t>
      </w:r>
    </w:p>
    <w:p>
      <w:pPr>
        <w:spacing w:line="360" w:lineRule="auto"/>
        <w:ind w:firstLine="360" w:firstLineChars="150"/>
        <w:rPr>
          <w:rFonts w:hint="eastAsia" w:ascii="仿宋_GB2312" w:hAnsi="仿宋_GB2312" w:eastAsia="仿宋_GB2312" w:cs="仿宋_GB2312"/>
          <w:bCs/>
          <w:sz w:val="24"/>
        </w:rPr>
      </w:pPr>
      <w:r>
        <w:rPr>
          <w:rFonts w:hint="eastAsia" w:ascii="仿宋_GB2312" w:hAnsi="仿宋_GB2312" w:eastAsia="仿宋_GB2312" w:cs="仿宋_GB2312"/>
          <w:bCs/>
          <w:sz w:val="24"/>
        </w:rPr>
        <w:t>（一）甲乙双方严格遵守国家关于市场准入、项目招标投标、市场经营活动等有关法律、法规相关政策及廉政建设的各项规定。</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（二）严格执行</w:t>
      </w:r>
      <w:r>
        <w:rPr>
          <w:rFonts w:hint="eastAsia" w:ascii="仿宋_GB2312" w:hAnsi="仿宋_GB2312" w:eastAsia="仿宋_GB2312" w:cs="仿宋_GB2312"/>
          <w:bCs/>
          <w:sz w:val="24"/>
          <w:u w:val="single"/>
        </w:rPr>
        <w:t xml:space="preserve"> 合同名称（穗净水合[    ]   号）</w:t>
      </w:r>
      <w:r>
        <w:rPr>
          <w:rFonts w:hint="eastAsia" w:ascii="仿宋_GB2312" w:hAnsi="仿宋_GB2312" w:eastAsia="仿宋_GB2312" w:cs="仿宋_GB2312"/>
          <w:bCs/>
          <w:sz w:val="24"/>
        </w:rPr>
        <w:t>合同（以下简称：主合同），自觉履行合同约定的相关义务。</w:t>
      </w:r>
    </w:p>
    <w:p>
      <w:pPr>
        <w:spacing w:line="360" w:lineRule="auto"/>
        <w:ind w:firstLine="360" w:firstLineChars="150"/>
        <w:rPr>
          <w:rFonts w:hint="eastAsia" w:ascii="仿宋_GB2312" w:hAnsi="仿宋_GB2312" w:eastAsia="仿宋_GB2312" w:cs="仿宋_GB2312"/>
          <w:bCs/>
          <w:sz w:val="24"/>
        </w:rPr>
      </w:pPr>
      <w:r>
        <w:rPr>
          <w:rFonts w:hint="eastAsia" w:ascii="仿宋_GB2312" w:hAnsi="仿宋_GB2312" w:eastAsia="仿宋_GB2312" w:cs="仿宋_GB2312"/>
          <w:bCs/>
          <w:sz w:val="24"/>
        </w:rPr>
        <w:t>（三）在业务活动中坚持公开、公正、诚信、透明的原则，不得损害国家、集体利益。</w:t>
      </w:r>
    </w:p>
    <w:p>
      <w:pPr>
        <w:spacing w:line="360" w:lineRule="auto"/>
        <w:ind w:firstLine="360" w:firstLineChars="150"/>
        <w:rPr>
          <w:rFonts w:hint="eastAsia" w:ascii="仿宋_GB2312" w:hAnsi="仿宋_GB2312" w:eastAsia="仿宋_GB2312" w:cs="仿宋_GB2312"/>
          <w:bCs/>
          <w:sz w:val="24"/>
        </w:rPr>
      </w:pPr>
      <w:r>
        <w:rPr>
          <w:rFonts w:hint="eastAsia" w:ascii="仿宋_GB2312" w:hAnsi="仿宋_GB2312" w:eastAsia="仿宋_GB2312" w:cs="仿宋_GB2312"/>
          <w:bCs/>
          <w:sz w:val="24"/>
        </w:rPr>
        <w:t>（四）建立健全廉洁从业制度，开展廉洁教育，公布举报电话，监督并认真查处不廉洁及违法违纪行为。</w:t>
      </w:r>
    </w:p>
    <w:p>
      <w:pPr>
        <w:spacing w:line="360" w:lineRule="auto"/>
        <w:ind w:firstLine="360" w:firstLineChars="150"/>
        <w:rPr>
          <w:rFonts w:hint="eastAsia" w:ascii="仿宋_GB2312" w:hAnsi="仿宋_GB2312" w:eastAsia="仿宋_GB2312" w:cs="仿宋_GB2312"/>
          <w:bCs/>
          <w:sz w:val="24"/>
        </w:rPr>
      </w:pPr>
      <w:r>
        <w:rPr>
          <w:rFonts w:hint="eastAsia" w:ascii="仿宋_GB2312" w:hAnsi="仿宋_GB2312" w:eastAsia="仿宋_GB2312" w:cs="仿宋_GB2312"/>
          <w:bCs/>
          <w:sz w:val="24"/>
        </w:rPr>
        <w:t>（五）发现对方在业务活动中有不廉洁行为，应及时提醒对方纠正。情节严重的，应向其有关监督部门检举。</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第二条 甲方的义务</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（一）甲方及其工作人员不得索要或接受乙方的礼金、有价证券和贵重物品，不得在乙方报销任何应由甲方或个人支付的费用等。</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二）甲方工作人员不得参加乙方安排的可能影响相关业务公开、公正、公平性的宴请和娱乐活动；不得参与任何形式的赌博，并通过赌博方式收受乙方财物；不得接受乙方提供的通讯工具、交通工具（合同约定除外）和高档办公用品等。</w:t>
      </w:r>
    </w:p>
    <w:p>
      <w:pPr>
        <w:spacing w:line="360" w:lineRule="auto"/>
        <w:ind w:left="15" w:leftChars="7"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（三）甲方及其工作人员不得要求或者接受乙方为其住房装修、婚丧嫁娶活动、配偶子女工作安排以及出国出境、旅游等提供方便等。</w:t>
      </w:r>
    </w:p>
    <w:p>
      <w:pPr>
        <w:spacing w:line="360" w:lineRule="auto"/>
        <w:ind w:left="15" w:leftChars="7"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（四）甲方工作人员不得在乙方或与乙方有股权关联的企业兼职，不得向乙方介绍家属或者亲友从事与甲方业务有关的经济活动。</w:t>
      </w:r>
    </w:p>
    <w:p>
      <w:pPr>
        <w:spacing w:line="360" w:lineRule="auto"/>
        <w:ind w:left="15" w:leftChars="7"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五）甲方工作人员不得以明显低于市场的价格向乙方购买房屋、汽车等物品；不得以明显高于市场的价格向乙方出售房屋、汽车等物品；不得使用乙方提供的与工作无关的房屋、汽车等物品；不得以其他交易形式非法收受请托人财物。</w:t>
      </w:r>
    </w:p>
    <w:p>
      <w:pPr>
        <w:spacing w:line="360" w:lineRule="auto"/>
        <w:ind w:left="15" w:leftChars="7"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（六）甲方工作人员不得利用职务之便收受乙方以回扣、手续费、加班费、咨询费、劳务费、协调费、辛苦费等各种名义给予或赠送的钱物。</w:t>
      </w:r>
    </w:p>
    <w:p>
      <w:pPr>
        <w:spacing w:line="360" w:lineRule="auto"/>
        <w:ind w:left="15" w:leftChars="7"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（七）甲方工作人员不得接受乙方给予或赠送的干股或红利。</w:t>
      </w:r>
    </w:p>
    <w:p>
      <w:pPr>
        <w:spacing w:line="360" w:lineRule="auto"/>
        <w:ind w:left="15" w:leftChars="7"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(八）不得存在其他违反廉洁规定的行为。</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第三条 乙方的义务</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（一）乙方不得以任何理由向甲方及其工作人员行贿或馈赠礼金、有价证券、贵重礼品。</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（二)乙方不得以任何名义为甲方及其工作人员报销应由甲方单位或个人支付的任何费用。</w:t>
      </w:r>
    </w:p>
    <w:p>
      <w:pPr>
        <w:spacing w:line="360" w:lineRule="auto"/>
        <w:ind w:left="25" w:leftChars="12"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（三）乙方不得以任何理由安排甲方工作人员参加可能影响相关业务公开、公正、公平性的宴请及娱乐活动。</w:t>
      </w:r>
    </w:p>
    <w:p>
      <w:pPr>
        <w:pStyle w:val="7"/>
        <w:spacing w:after="0" w:line="360" w:lineRule="auto"/>
        <w:rPr>
          <w:rFonts w:hint="eastAsia" w:ascii="仿宋_GB2312" w:hAnsi="仿宋_GB2312" w:eastAsia="仿宋_GB2312" w:cs="仿宋_GB2312"/>
          <w:bCs/>
          <w:sz w:val="24"/>
          <w:szCs w:val="24"/>
        </w:rPr>
      </w:pPr>
      <w:r>
        <w:rPr>
          <w:rFonts w:hint="eastAsia" w:ascii="仿宋_GB2312" w:hAnsi="仿宋_GB2312" w:eastAsia="仿宋_GB2312" w:cs="仿宋_GB2312"/>
          <w:bCs/>
          <w:sz w:val="24"/>
          <w:szCs w:val="24"/>
        </w:rPr>
        <w:t>（四）乙方不得为甲方单位和个人购置或提供通讯工具和高档办公用品等物品，也不得为甲方提供与工作无关的房屋、汽车等。</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（五）乙方不得擅自与甲方工作人员就主合同中的质量、数量、价格、工程量、验收等条款进行私下商谈或者达成默契。</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（六）乙方不得以回扣、手续费、加班费、咨询费、劳务费、协调费、辛苦费等各种名义向甲方工作人员给予或赠送钱物。</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（七）乙方不得向甲方工作人员提供干股或红利。</w:t>
      </w:r>
    </w:p>
    <w:p>
      <w:pPr>
        <w:spacing w:line="360" w:lineRule="auto"/>
        <w:ind w:left="15" w:leftChars="7"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（八）不得存在其他违反廉洁规定的行为。</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第四条 违约责任</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（一）甲方及其工作人员违反本协议第一、二条。甲方按管理权限，对相关责任人依据有关规定给予处理；涉嫌犯罪的，移交司法机关追究刑事责任；给乙方单位造成经济损失的，应予以赔偿。</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甲方举报投诉联系部门：广州市净水有限公司</w:t>
      </w:r>
      <w:r>
        <w:rPr>
          <w:rFonts w:hint="eastAsia" w:ascii="仿宋_GB2312" w:hAnsi="仿宋_GB2312" w:eastAsia="仿宋_GB2312" w:cs="仿宋_GB2312"/>
          <w:bCs/>
          <w:sz w:val="24"/>
          <w:u w:val="single"/>
        </w:rPr>
        <w:t>纪检室</w:t>
      </w:r>
      <w:r>
        <w:rPr>
          <w:rFonts w:hint="eastAsia" w:ascii="仿宋_GB2312" w:hAnsi="仿宋_GB2312" w:eastAsia="仿宋_GB2312" w:cs="仿宋_GB2312"/>
          <w:bCs/>
          <w:sz w:val="24"/>
        </w:rPr>
        <w:t>，联系电话：</w:t>
      </w:r>
      <w:r>
        <w:rPr>
          <w:rFonts w:hint="eastAsia" w:ascii="仿宋_GB2312" w:hAnsi="仿宋_GB2312" w:eastAsia="仿宋_GB2312" w:cs="仿宋_GB2312"/>
          <w:bCs/>
          <w:sz w:val="24"/>
          <w:u w:val="single"/>
        </w:rPr>
        <w:t xml:space="preserve"> 020-38890265 </w:t>
      </w:r>
      <w:r>
        <w:rPr>
          <w:rFonts w:hint="eastAsia" w:ascii="仿宋_GB2312" w:hAnsi="仿宋_GB2312" w:eastAsia="仿宋_GB2312" w:cs="仿宋_GB2312"/>
          <w:bCs/>
          <w:sz w:val="24"/>
        </w:rPr>
        <w:t>。</w:t>
      </w:r>
    </w:p>
    <w:p>
      <w:pPr>
        <w:pStyle w:val="12"/>
        <w:widowControl/>
        <w:spacing w:before="0" w:beforeAutospacing="0" w:after="0" w:afterAutospacing="0"/>
        <w:ind w:firstLine="480" w:firstLineChars="200"/>
        <w:rPr>
          <w:rFonts w:hint="eastAsia" w:ascii="仿宋_GB2312" w:hAnsi="仿宋_GB2312" w:cs="仿宋_GB2312"/>
          <w:bCs/>
          <w:szCs w:val="24"/>
        </w:rPr>
      </w:pPr>
      <w:r>
        <w:rPr>
          <w:rFonts w:hint="eastAsia" w:ascii="仿宋_GB2312" w:hAnsi="仿宋_GB2312" w:cs="仿宋_GB2312"/>
          <w:bCs/>
          <w:szCs w:val="24"/>
        </w:rPr>
        <w:t>（二）乙方及其工作人员存在违反本协议第一、三条规定、或在甲方招标、询价等过程中违反法律法规中的廉洁规定的行为，无论该行为是否与主合同有关，甲方均有权根据具体情节和造成的后果，对乙方采取以下处理方式：</w:t>
      </w:r>
    </w:p>
    <w:p>
      <w:pPr>
        <w:pStyle w:val="12"/>
        <w:widowControl/>
        <w:spacing w:before="0" w:beforeAutospacing="0" w:after="0" w:afterAutospacing="0"/>
        <w:ind w:firstLine="480" w:firstLineChars="200"/>
        <w:rPr>
          <w:rFonts w:hint="eastAsia" w:ascii="仿宋_GB2312" w:hAnsi="仿宋_GB2312" w:cs="仿宋_GB2312"/>
          <w:bCs/>
          <w:szCs w:val="24"/>
        </w:rPr>
      </w:pPr>
      <w:r>
        <w:rPr>
          <w:rFonts w:hint="eastAsia" w:ascii="仿宋_GB2312" w:hAnsi="仿宋_GB2312" w:cs="仿宋_GB2312"/>
          <w:bCs/>
          <w:szCs w:val="24"/>
        </w:rPr>
        <w:t>1、扣除主合同的全部履约保证金；</w:t>
      </w:r>
    </w:p>
    <w:p>
      <w:pPr>
        <w:pStyle w:val="12"/>
        <w:widowControl/>
        <w:spacing w:before="0" w:beforeAutospacing="0" w:after="0" w:afterAutospacing="0"/>
        <w:ind w:firstLine="480" w:firstLineChars="200"/>
        <w:rPr>
          <w:rFonts w:hint="eastAsia" w:ascii="仿宋_GB2312" w:hAnsi="仿宋_GB2312" w:cs="仿宋_GB2312"/>
          <w:bCs/>
          <w:szCs w:val="24"/>
        </w:rPr>
      </w:pPr>
      <w:r>
        <w:rPr>
          <w:rFonts w:hint="eastAsia" w:ascii="仿宋_GB2312" w:hAnsi="仿宋_GB2312" w:cs="仿宋_GB2312"/>
          <w:bCs/>
          <w:szCs w:val="24"/>
        </w:rPr>
        <w:t>2、解除主合同；</w:t>
      </w:r>
    </w:p>
    <w:p>
      <w:pPr>
        <w:pStyle w:val="12"/>
        <w:widowControl/>
        <w:spacing w:before="0" w:beforeAutospacing="0" w:after="0" w:afterAutospacing="0"/>
        <w:ind w:firstLine="480" w:firstLineChars="200"/>
        <w:rPr>
          <w:rFonts w:hint="eastAsia" w:ascii="仿宋_GB2312" w:hAnsi="仿宋_GB2312" w:cs="仿宋_GB2312"/>
          <w:bCs/>
          <w:szCs w:val="24"/>
        </w:rPr>
      </w:pPr>
      <w:r>
        <w:rPr>
          <w:rFonts w:hint="eastAsia" w:ascii="仿宋_GB2312" w:hAnsi="仿宋_GB2312" w:cs="仿宋_GB2312"/>
          <w:bCs/>
          <w:szCs w:val="24"/>
        </w:rPr>
        <w:t>3、追究乙方其他违约责任；</w:t>
      </w:r>
    </w:p>
    <w:p>
      <w:pPr>
        <w:pStyle w:val="12"/>
        <w:widowControl/>
        <w:spacing w:before="0" w:beforeAutospacing="0" w:after="0" w:afterAutospacing="0"/>
        <w:ind w:firstLine="480" w:firstLineChars="200"/>
        <w:rPr>
          <w:rFonts w:hint="eastAsia" w:ascii="仿宋_GB2312" w:hAnsi="仿宋_GB2312" w:cs="仿宋_GB2312"/>
          <w:bCs/>
          <w:szCs w:val="24"/>
        </w:rPr>
      </w:pPr>
      <w:r>
        <w:rPr>
          <w:rFonts w:hint="eastAsia" w:ascii="仿宋_GB2312" w:hAnsi="仿宋_GB2312" w:cs="仿宋_GB2312"/>
          <w:bCs/>
          <w:szCs w:val="24"/>
        </w:rPr>
        <w:t>4、根据甲方的有关规章制度，在一定时间内暂停乙方参与甲方及下属单位所有项目的交易资格；</w:t>
      </w:r>
    </w:p>
    <w:p>
      <w:pPr>
        <w:pStyle w:val="12"/>
        <w:widowControl/>
        <w:spacing w:before="0" w:beforeAutospacing="0" w:after="0" w:afterAutospacing="0"/>
        <w:ind w:firstLine="480" w:firstLineChars="200"/>
        <w:rPr>
          <w:rFonts w:hint="eastAsia" w:ascii="仿宋_GB2312" w:hAnsi="仿宋_GB2312" w:cs="仿宋_GB2312"/>
          <w:bCs/>
          <w:szCs w:val="24"/>
        </w:rPr>
      </w:pPr>
      <w:r>
        <w:rPr>
          <w:rFonts w:hint="eastAsia" w:ascii="仿宋_GB2312" w:hAnsi="仿宋_GB2312" w:cs="仿宋_GB2312"/>
          <w:bCs/>
          <w:szCs w:val="24"/>
        </w:rPr>
        <w:t>5、根据甲方的有关规章制度，将乙方清退出甲方相关企业库；</w:t>
      </w:r>
    </w:p>
    <w:p>
      <w:pPr>
        <w:pStyle w:val="12"/>
        <w:widowControl/>
        <w:spacing w:before="0" w:beforeAutospacing="0" w:after="0" w:afterAutospacing="0"/>
        <w:ind w:firstLine="480" w:firstLineChars="200"/>
        <w:rPr>
          <w:rFonts w:hint="eastAsia" w:ascii="仿宋_GB2312" w:hAnsi="仿宋_GB2312" w:cs="仿宋_GB2312"/>
          <w:bCs/>
          <w:szCs w:val="24"/>
        </w:rPr>
      </w:pPr>
      <w:r>
        <w:rPr>
          <w:rFonts w:hint="eastAsia" w:ascii="仿宋_GB2312" w:hAnsi="仿宋_GB2312" w:cs="仿宋_GB2312"/>
          <w:bCs/>
          <w:szCs w:val="24"/>
        </w:rPr>
        <w:t>6、根据甲方上级单位、行政主管部门的意见、决定执行；</w:t>
      </w:r>
    </w:p>
    <w:p>
      <w:pPr>
        <w:pStyle w:val="12"/>
        <w:widowControl/>
        <w:spacing w:before="0" w:beforeAutospacing="0" w:after="0" w:afterAutospacing="0"/>
        <w:ind w:firstLine="480" w:firstLineChars="200"/>
        <w:rPr>
          <w:rFonts w:hint="eastAsia" w:ascii="仿宋_GB2312" w:hAnsi="仿宋_GB2312" w:cs="仿宋_GB2312"/>
          <w:bCs/>
          <w:szCs w:val="24"/>
        </w:rPr>
      </w:pPr>
      <w:r>
        <w:rPr>
          <w:rFonts w:hint="eastAsia" w:ascii="仿宋_GB2312" w:hAnsi="仿宋_GB2312" w:cs="仿宋_GB2312"/>
          <w:bCs/>
          <w:szCs w:val="24"/>
        </w:rPr>
        <w:t>7、按规定向有关行政监督部门、乙方业务管理部门进行投诉、报告。</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乙方无条件接受甲方的处理决定并承担给甲方造成的损失，全额返还通过不正当手段获取的非法所得，并承担相应的法律责任。</w:t>
      </w:r>
    </w:p>
    <w:p>
      <w:pPr>
        <w:spacing w:line="360" w:lineRule="auto"/>
        <w:ind w:firstLine="480" w:firstLineChars="200"/>
        <w:rPr>
          <w:rFonts w:hint="eastAsia" w:ascii="仿宋_GB2312" w:hAnsi="仿宋_GB2312" w:eastAsia="仿宋_GB2312" w:cs="仿宋_GB2312"/>
          <w:bCs/>
          <w:kern w:val="0"/>
          <w:sz w:val="24"/>
        </w:rPr>
      </w:pPr>
      <w:r>
        <w:rPr>
          <w:rFonts w:hint="eastAsia" w:ascii="仿宋_GB2312" w:hAnsi="仿宋_GB2312" w:eastAsia="仿宋_GB2312" w:cs="仿宋_GB2312"/>
          <w:bCs/>
          <w:sz w:val="24"/>
        </w:rPr>
        <w:t xml:space="preserve">第五条 </w:t>
      </w:r>
      <w:r>
        <w:rPr>
          <w:rFonts w:hint="eastAsia" w:ascii="仿宋_GB2312" w:hAnsi="仿宋_GB2312" w:eastAsia="仿宋_GB2312" w:cs="仿宋_GB2312"/>
          <w:bCs/>
          <w:kern w:val="0"/>
          <w:sz w:val="24"/>
        </w:rPr>
        <w:t xml:space="preserve">本协议执行情况，接受有管辖权的纪检、监察部门的监督，双方应予以配合检查调查。 </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第六条 本协议作为</w:t>
      </w:r>
      <w:r>
        <w:rPr>
          <w:rFonts w:hint="eastAsia" w:ascii="仿宋_GB2312" w:hAnsi="仿宋_GB2312" w:eastAsia="仿宋_GB2312" w:cs="仿宋_GB2312"/>
          <w:bCs/>
          <w:sz w:val="24"/>
          <w:u w:val="single"/>
        </w:rPr>
        <w:t xml:space="preserve">  合同名称（穗净水合[    ]   号）</w:t>
      </w:r>
      <w:r>
        <w:rPr>
          <w:rFonts w:hint="eastAsia" w:ascii="仿宋_GB2312" w:hAnsi="仿宋_GB2312" w:eastAsia="仿宋_GB2312" w:cs="仿宋_GB2312"/>
          <w:bCs/>
          <w:sz w:val="24"/>
        </w:rPr>
        <w:t>合同的附件，并具有同等的法律效力，本协议自双方签字盖章之日起生效，与主合同同时终止。</w:t>
      </w:r>
    </w:p>
    <w:p>
      <w:pPr>
        <w:spacing w:line="360" w:lineRule="auto"/>
        <w:ind w:firstLine="480" w:firstLineChars="200"/>
        <w:rPr>
          <w:rFonts w:hint="eastAsia" w:ascii="仿宋_GB2312" w:hAnsi="仿宋_GB2312" w:eastAsia="仿宋_GB2312" w:cs="仿宋_GB2312"/>
          <w:bCs/>
          <w:sz w:val="24"/>
        </w:rPr>
      </w:pPr>
      <w:r>
        <w:rPr>
          <w:rFonts w:hint="eastAsia" w:ascii="仿宋_GB2312" w:hAnsi="仿宋_GB2312" w:eastAsia="仿宋_GB2312" w:cs="仿宋_GB2312"/>
          <w:bCs/>
          <w:sz w:val="24"/>
        </w:rPr>
        <w:t>第七条 本协议一式</w:t>
      </w:r>
      <w:r>
        <w:rPr>
          <w:rFonts w:hint="eastAsia" w:ascii="仿宋_GB2312" w:hAnsi="仿宋_GB2312" w:eastAsia="仿宋_GB2312" w:cs="仿宋_GB2312"/>
          <w:bCs/>
          <w:sz w:val="24"/>
          <w:u w:val="single"/>
        </w:rPr>
        <w:t>…</w:t>
      </w:r>
      <w:r>
        <w:rPr>
          <w:rFonts w:hint="eastAsia" w:ascii="仿宋_GB2312" w:hAnsi="仿宋_GB2312" w:eastAsia="仿宋_GB2312" w:cs="仿宋_GB2312"/>
          <w:bCs/>
          <w:sz w:val="24"/>
        </w:rPr>
        <w:t>份，甲方</w:t>
      </w:r>
      <w:r>
        <w:rPr>
          <w:rFonts w:hint="eastAsia" w:ascii="仿宋_GB2312" w:hAnsi="仿宋_GB2312" w:eastAsia="仿宋_GB2312" w:cs="仿宋_GB2312"/>
          <w:bCs/>
          <w:sz w:val="24"/>
          <w:u w:val="single"/>
        </w:rPr>
        <w:t>…</w:t>
      </w:r>
      <w:r>
        <w:rPr>
          <w:rFonts w:hint="eastAsia" w:ascii="仿宋_GB2312" w:hAnsi="仿宋_GB2312" w:eastAsia="仿宋_GB2312" w:cs="仿宋_GB2312"/>
          <w:bCs/>
          <w:sz w:val="24"/>
        </w:rPr>
        <w:t>份，乙方</w:t>
      </w:r>
      <w:r>
        <w:rPr>
          <w:rFonts w:hint="eastAsia" w:ascii="仿宋_GB2312" w:hAnsi="仿宋_GB2312" w:eastAsia="仿宋_GB2312" w:cs="仿宋_GB2312"/>
          <w:bCs/>
          <w:sz w:val="24"/>
          <w:u w:val="single"/>
        </w:rPr>
        <w:t>…</w:t>
      </w:r>
      <w:r>
        <w:rPr>
          <w:rFonts w:hint="eastAsia" w:ascii="仿宋_GB2312" w:hAnsi="仿宋_GB2312" w:eastAsia="仿宋_GB2312" w:cs="仿宋_GB2312"/>
          <w:bCs/>
          <w:sz w:val="24"/>
        </w:rPr>
        <w:t>份。</w:t>
      </w:r>
    </w:p>
    <w:p>
      <w:pPr>
        <w:spacing w:line="360" w:lineRule="auto"/>
        <w:ind w:firstLine="480" w:firstLineChars="200"/>
        <w:rPr>
          <w:rFonts w:hint="eastAsia" w:ascii="仿宋_GB2312" w:hAnsi="仿宋_GB2312" w:eastAsia="仿宋_GB2312" w:cs="仿宋_GB2312"/>
          <w:bCs/>
          <w:sz w:val="24"/>
        </w:rPr>
      </w:pPr>
    </w:p>
    <w:p>
      <w:pPr>
        <w:spacing w:line="360" w:lineRule="auto"/>
        <w:rPr>
          <w:rFonts w:hint="eastAsia" w:ascii="仿宋_GB2312" w:hAnsi="仿宋_GB2312" w:eastAsia="仿宋_GB2312" w:cs="仿宋_GB2312"/>
          <w:bCs/>
          <w:sz w:val="24"/>
        </w:rPr>
      </w:pPr>
      <w:r>
        <w:rPr>
          <w:rFonts w:hint="eastAsia" w:ascii="仿宋_GB2312" w:hAnsi="仿宋_GB2312" w:eastAsia="仿宋_GB2312" w:cs="仿宋_GB2312"/>
          <w:bCs/>
          <w:sz w:val="24"/>
        </w:rPr>
        <w:br w:type="textWrapping"/>
      </w:r>
      <w:r>
        <w:rPr>
          <w:rFonts w:hint="eastAsia" w:ascii="仿宋_GB2312" w:hAnsi="仿宋_GB2312" w:eastAsia="仿宋_GB2312" w:cs="仿宋_GB2312"/>
          <w:bCs/>
          <w:sz w:val="24"/>
        </w:rPr>
        <w:t>甲方（盖章）：                     乙方（盖章）：</w:t>
      </w:r>
    </w:p>
    <w:p>
      <w:pPr>
        <w:pStyle w:val="22"/>
        <w:tabs>
          <w:tab w:val="left" w:pos="5100"/>
        </w:tabs>
        <w:spacing w:line="360" w:lineRule="auto"/>
        <w:ind w:left="7200" w:firstLine="0" w:firstLineChars="0"/>
        <w:jc w:val="left"/>
        <w:rPr>
          <w:rFonts w:hint="eastAsia" w:ascii="仿宋_GB2312" w:hAnsi="仿宋_GB2312" w:eastAsia="仿宋_GB2312" w:cs="仿宋_GB2312"/>
          <w:bCs/>
          <w:sz w:val="24"/>
        </w:rPr>
      </w:pPr>
    </w:p>
    <w:p>
      <w:pPr>
        <w:tabs>
          <w:tab w:val="left" w:pos="5100"/>
        </w:tabs>
        <w:spacing w:line="360" w:lineRule="auto"/>
        <w:ind w:left="7200" w:hanging="7200" w:hangingChars="3000"/>
        <w:rPr>
          <w:rFonts w:hint="eastAsia" w:ascii="仿宋_GB2312" w:hAnsi="仿宋_GB2312" w:eastAsia="仿宋_GB2312" w:cs="仿宋_GB2312"/>
          <w:bCs/>
          <w:sz w:val="24"/>
        </w:rPr>
      </w:pPr>
      <w:r>
        <w:rPr>
          <w:rFonts w:hint="eastAsia" w:ascii="仿宋_GB2312" w:hAnsi="仿宋_GB2312" w:eastAsia="仿宋_GB2312" w:cs="仿宋_GB2312"/>
          <w:bCs/>
          <w:sz w:val="24"/>
        </w:rPr>
        <w:t>签约代表：                         签约代表：</w:t>
      </w:r>
    </w:p>
    <w:p>
      <w:pPr>
        <w:tabs>
          <w:tab w:val="left" w:pos="4170"/>
        </w:tabs>
        <w:spacing w:line="360" w:lineRule="auto"/>
        <w:rPr>
          <w:rFonts w:hint="eastAsia" w:ascii="仿宋_GB2312" w:hAnsi="仿宋_GB2312" w:eastAsia="仿宋_GB2312" w:cs="仿宋_GB2312"/>
          <w:bCs/>
          <w:sz w:val="24"/>
        </w:rPr>
      </w:pPr>
      <w:r>
        <w:rPr>
          <w:rFonts w:hint="eastAsia" w:ascii="仿宋_GB2312" w:hAnsi="仿宋_GB2312" w:eastAsia="仿宋_GB2312" w:cs="仿宋_GB2312"/>
          <w:bCs/>
          <w:sz w:val="24"/>
        </w:rPr>
        <w:t>日期:    年  月  日</w:t>
      </w:r>
      <w:r>
        <w:rPr>
          <w:rFonts w:hint="eastAsia" w:ascii="仿宋_GB2312" w:hAnsi="仿宋_GB2312" w:eastAsia="仿宋_GB2312" w:cs="仿宋_GB2312"/>
          <w:bCs/>
          <w:sz w:val="24"/>
        </w:rPr>
        <w:tab/>
      </w:r>
      <w:r>
        <w:rPr>
          <w:rFonts w:hint="eastAsia" w:ascii="仿宋_GB2312" w:hAnsi="仿宋_GB2312" w:eastAsia="仿宋_GB2312" w:cs="仿宋_GB2312"/>
          <w:bCs/>
          <w:sz w:val="24"/>
        </w:rPr>
        <w:t>日期：  年  月  日</w:t>
      </w:r>
    </w:p>
    <w:p>
      <w:pPr>
        <w:spacing w:line="560" w:lineRule="exact"/>
        <w:rPr>
          <w:rFonts w:hint="eastAsia" w:ascii="黑体" w:hAnsi="黑体" w:eastAsia="黑体" w:cs="Batang"/>
          <w:bCs/>
          <w:kern w:val="0"/>
          <w:sz w:val="32"/>
          <w:szCs w:val="32"/>
        </w:rPr>
      </w:pPr>
    </w:p>
    <w:p>
      <w:pPr>
        <w:spacing w:line="560" w:lineRule="exact"/>
        <w:rPr>
          <w:rFonts w:hint="eastAsia" w:ascii="黑体" w:hAnsi="黑体" w:eastAsia="黑体" w:cs="Batang"/>
          <w:bCs/>
          <w:kern w:val="0"/>
          <w:sz w:val="32"/>
          <w:szCs w:val="32"/>
        </w:rPr>
      </w:pPr>
    </w:p>
    <w:p>
      <w:pPr>
        <w:spacing w:line="560" w:lineRule="exact"/>
        <w:rPr>
          <w:rFonts w:hint="eastAsia" w:ascii="黑体" w:hAnsi="黑体" w:eastAsia="黑体" w:cs="Batang"/>
          <w:bCs/>
          <w:kern w:val="0"/>
          <w:sz w:val="32"/>
          <w:szCs w:val="32"/>
        </w:rPr>
      </w:pPr>
    </w:p>
    <w:p>
      <w:pPr>
        <w:spacing w:line="560" w:lineRule="exact"/>
        <w:rPr>
          <w:rFonts w:hint="eastAsia" w:ascii="黑体" w:hAnsi="黑体" w:eastAsia="黑体" w:cs="Batang"/>
          <w:bCs/>
          <w:kern w:val="0"/>
          <w:sz w:val="32"/>
          <w:szCs w:val="32"/>
        </w:rPr>
      </w:pPr>
    </w:p>
    <w:p>
      <w:pPr>
        <w:spacing w:line="560" w:lineRule="exact"/>
        <w:rPr>
          <w:rFonts w:hint="eastAsia" w:ascii="黑体" w:hAnsi="黑体" w:eastAsia="黑体" w:cs="Batang"/>
          <w:bCs/>
          <w:kern w:val="0"/>
          <w:sz w:val="32"/>
          <w:szCs w:val="32"/>
        </w:rPr>
      </w:pPr>
      <w:r>
        <w:rPr>
          <w:rFonts w:hint="eastAsia" w:ascii="黑体" w:hAnsi="黑体" w:eastAsia="黑体" w:cs="Batang"/>
          <w:bCs/>
          <w:kern w:val="0"/>
          <w:sz w:val="32"/>
          <w:szCs w:val="32"/>
        </w:rPr>
        <w:t>附件二</w:t>
      </w:r>
    </w:p>
    <w:p>
      <w:pPr>
        <w:spacing w:line="560" w:lineRule="exact"/>
        <w:rPr>
          <w:rFonts w:hint="eastAsia" w:ascii="黑体" w:hAnsi="黑体" w:eastAsia="黑体" w:cs="Batang"/>
          <w:bCs/>
          <w:kern w:val="0"/>
          <w:sz w:val="32"/>
          <w:szCs w:val="32"/>
        </w:rPr>
      </w:pPr>
    </w:p>
    <w:p>
      <w:pPr>
        <w:spacing w:line="440" w:lineRule="exact"/>
        <w:jc w:val="center"/>
        <w:rPr>
          <w:rFonts w:hint="eastAsia" w:ascii="方正小标宋简体" w:hAnsi="方正小标宋简体" w:eastAsia="方正小标宋简体" w:cs="方正小标宋简体"/>
        </w:rPr>
      </w:pPr>
      <w:r>
        <w:rPr>
          <w:rFonts w:hint="eastAsia" w:ascii="方正小标宋简体" w:hAnsi="方正小标宋简体" w:eastAsia="方正小标宋简体" w:cs="方正小标宋简体"/>
        </w:rPr>
        <w:t>厂内驻点单位（机构）安全及消防安全管理协议</w:t>
      </w:r>
    </w:p>
    <w:p>
      <w:pPr>
        <w:spacing w:line="440" w:lineRule="exact"/>
        <w:rPr>
          <w:rFonts w:hint="eastAsia" w:ascii="仿宋_GB2312" w:hAnsi="仿宋_GB2312" w:eastAsia="仿宋_GB2312" w:cs="仿宋_GB2312"/>
          <w:kern w:val="0"/>
          <w:sz w:val="24"/>
        </w:rPr>
      </w:pPr>
    </w:p>
    <w:p>
      <w:pPr>
        <w:spacing w:line="440" w:lineRule="exac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甲方：</w:t>
      </w:r>
      <w:r>
        <w:rPr>
          <w:rFonts w:hint="eastAsia" w:ascii="仿宋_GB2312" w:hAnsi="仿宋_GB2312" w:eastAsia="仿宋_GB2312" w:cs="仿宋_GB2312"/>
          <w:sz w:val="24"/>
        </w:rPr>
        <w:t>广州市净水有限公司</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 xml:space="preserve"> </w:t>
      </w:r>
    </w:p>
    <w:p>
      <w:pPr>
        <w:spacing w:line="440" w:lineRule="exac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乙方： </w:t>
      </w:r>
    </w:p>
    <w:p>
      <w:pPr>
        <w:spacing w:line="440" w:lineRule="exact"/>
        <w:rPr>
          <w:rFonts w:hint="eastAsia" w:ascii="仿宋_GB2312" w:hAnsi="仿宋_GB2312" w:eastAsia="仿宋_GB2312" w:cs="仿宋_GB2312"/>
          <w:kern w:val="0"/>
          <w:sz w:val="24"/>
        </w:rPr>
      </w:pPr>
    </w:p>
    <w:p>
      <w:pPr>
        <w:spacing w:line="440" w:lineRule="exact"/>
        <w:ind w:firstLine="480" w:firstLineChars="20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根据《中华人民共和国安全生产法》、《中华人民共和国消防法》、《生产安全事故报告和调查处理条例》等国家及地方有关安全生产、消防安全法律法规，甲乙双方就安全及消防安全事宜，</w:t>
      </w:r>
      <w:r>
        <w:rPr>
          <w:rFonts w:hint="eastAsia" w:ascii="仿宋_GB2312" w:hAnsi="仿宋_GB2312" w:eastAsia="仿宋_GB2312" w:cs="仿宋_GB2312"/>
          <w:sz w:val="24"/>
        </w:rPr>
        <w:t>经双方友好协商，达成如下协议</w:t>
      </w:r>
      <w:r>
        <w:rPr>
          <w:rFonts w:hint="eastAsia" w:ascii="仿宋_GB2312" w:hAnsi="仿宋_GB2312" w:eastAsia="仿宋_GB2312" w:cs="仿宋_GB2312"/>
          <w:kern w:val="0"/>
          <w:sz w:val="24"/>
        </w:rPr>
        <w:t>。</w:t>
      </w:r>
    </w:p>
    <w:p>
      <w:pPr>
        <w:adjustRightInd w:val="0"/>
        <w:snapToGrid w:val="0"/>
        <w:spacing w:line="440" w:lineRule="exact"/>
        <w:ind w:firstLine="480" w:firstLineChars="200"/>
        <w:jc w:val="left"/>
        <w:rPr>
          <w:rFonts w:hint="eastAsia" w:ascii="黑体" w:hAnsi="黑体" w:eastAsia="黑体" w:cs="黑体"/>
          <w:bCs/>
          <w:sz w:val="24"/>
        </w:rPr>
      </w:pPr>
      <w:r>
        <w:rPr>
          <w:rFonts w:hint="eastAsia" w:ascii="黑体" w:hAnsi="黑体" w:eastAsia="黑体" w:cs="黑体"/>
          <w:sz w:val="24"/>
        </w:rPr>
        <w:t>一、总则</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kern w:val="0"/>
          <w:sz w:val="24"/>
        </w:rPr>
        <w:t>（一）本协议原则上每年一签</w:t>
      </w:r>
      <w:r>
        <w:rPr>
          <w:rFonts w:hint="eastAsia" w:ascii="仿宋_GB2312" w:hAnsi="仿宋_GB2312" w:eastAsia="仿宋_GB2312" w:cs="仿宋_GB2312"/>
          <w:sz w:val="24"/>
        </w:rPr>
        <w:t>。</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（二）甲、乙双方应遵守国家、省、市有关安全生产、消防安全的法律、法规、规章，履行安全生产、消防安全职责，保障人员生命、财产安全。</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（三）甲、乙双方应当逐级落实安全生产、消防安全责任制，明确逐级岗位人员的安全生产、消防安全职责。</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（四）单位（机构）资质（</w:t>
      </w:r>
      <w:r>
        <w:rPr>
          <w:rFonts w:hint="eastAsia" w:ascii="仿宋_GB2312" w:hAnsi="仿宋_GB2312" w:eastAsia="仿宋_GB2312" w:cs="仿宋_GB2312"/>
          <w:b/>
          <w:kern w:val="0"/>
          <w:sz w:val="24"/>
        </w:rPr>
        <w:t>单项选择并填写</w:t>
      </w:r>
      <w:r>
        <w:rPr>
          <w:rFonts w:hint="eastAsia" w:ascii="仿宋_GB2312" w:hAnsi="仿宋_GB2312" w:eastAsia="仿宋_GB2312" w:cs="仿宋_GB2312"/>
          <w:kern w:val="0"/>
          <w:sz w:val="24"/>
        </w:rPr>
        <w:t>）</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kern w:val="0"/>
          <w:sz w:val="24"/>
        </w:rPr>
        <w:sym w:font="Wingdings 2" w:char="00A3"/>
      </w:r>
      <w:r>
        <w:rPr>
          <w:rFonts w:hint="eastAsia" w:ascii="仿宋_GB2312" w:hAnsi="仿宋_GB2312" w:eastAsia="仿宋_GB2312" w:cs="仿宋_GB2312"/>
          <w:kern w:val="0"/>
          <w:sz w:val="24"/>
        </w:rPr>
        <w:t>1.详见合同第</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条。</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sym w:font="Wingdings 2" w:char="00A3"/>
      </w:r>
      <w:r>
        <w:rPr>
          <w:rFonts w:hint="eastAsia" w:ascii="仿宋_GB2312" w:hAnsi="仿宋_GB2312" w:eastAsia="仿宋_GB2312" w:cs="仿宋_GB2312"/>
          <w:kern w:val="0"/>
          <w:sz w:val="24"/>
        </w:rPr>
        <w:t>2.详见文件《</w:t>
      </w:r>
      <w:r>
        <w:rPr>
          <w:rFonts w:hint="eastAsia" w:ascii="仿宋_GB2312" w:hAnsi="仿宋_GB2312" w:eastAsia="仿宋_GB2312" w:cs="仿宋_GB2312"/>
          <w:kern w:val="0"/>
          <w:sz w:val="24"/>
          <w:u w:val="single"/>
        </w:rPr>
        <w:t xml:space="preserve">           </w:t>
      </w:r>
      <w:r>
        <w:rPr>
          <w:rFonts w:hint="eastAsia" w:ascii="仿宋_GB2312" w:hAnsi="仿宋_GB2312" w:eastAsia="仿宋_GB2312" w:cs="仿宋_GB2312"/>
          <w:kern w:val="0"/>
          <w:sz w:val="24"/>
        </w:rPr>
        <w:t>》。</w:t>
      </w:r>
    </w:p>
    <w:p>
      <w:pPr>
        <w:adjustRightInd w:val="0"/>
        <w:snapToGrid w:val="0"/>
        <w:spacing w:line="440" w:lineRule="exact"/>
        <w:ind w:firstLine="480" w:firstLineChars="200"/>
        <w:jc w:val="left"/>
        <w:rPr>
          <w:rFonts w:hint="eastAsia" w:ascii="黑体" w:hAnsi="黑体" w:eastAsia="黑体" w:cs="黑体"/>
          <w:bCs/>
          <w:sz w:val="24"/>
        </w:rPr>
      </w:pPr>
      <w:r>
        <w:rPr>
          <w:rFonts w:hint="eastAsia" w:ascii="黑体" w:hAnsi="黑体" w:eastAsia="黑体" w:cs="黑体"/>
          <w:sz w:val="24"/>
        </w:rPr>
        <w:t>二、甲方的安全及消防安全责任</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kern w:val="0"/>
          <w:sz w:val="24"/>
        </w:rPr>
        <w:t>（一）交底告知</w:t>
      </w:r>
      <w:r>
        <w:rPr>
          <w:rFonts w:hint="eastAsia" w:ascii="仿宋_GB2312" w:hAnsi="仿宋_GB2312" w:eastAsia="仿宋_GB2312" w:cs="仿宋_GB2312"/>
          <w:sz w:val="24"/>
        </w:rPr>
        <w:t>。</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1.甲方应向乙方明确乙方驻点场所的具体位置，以及允许进入的区域，如办公区域、住宿区域、作业区域等。</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2.甲方有义务对乙方进厂人员进行安全交底教育培训，告知驻点场所存在的危险因素及相关的应急应对办法。</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3.甲方应向乙方提供甲方的突发事件应急联络方式，以及获取乙方的突发事件应急联络方式。</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（二）当乙方为广州市净水有限公司职能部门、项目组（部）时，消防设施、设备、灭火器材和消防安全警示标识的配置由甲方负责。</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（三）检查与督促隐患整改。</w:t>
      </w:r>
    </w:p>
    <w:p>
      <w:pPr>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1.甲方应每季度至少一次对乙方驻点场所开展检查，发现安全隐患、消防安全隐患要求乙方限期内整改，消除隐患。</w:t>
      </w:r>
    </w:p>
    <w:p>
      <w:pPr>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（四）突发事件。</w:t>
      </w:r>
    </w:p>
    <w:p>
      <w:pPr>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当甲方发生突发事件，可能</w:t>
      </w:r>
      <w:r>
        <w:rPr>
          <w:rFonts w:hint="eastAsia" w:ascii="仿宋_GB2312" w:hAnsi="仿宋_GB2312" w:eastAsia="仿宋_GB2312" w:cs="仿宋_GB2312"/>
          <w:sz w:val="24"/>
        </w:rPr>
        <w:t>影响</w:t>
      </w:r>
      <w:r>
        <w:rPr>
          <w:rFonts w:ascii="仿宋_GB2312" w:hAnsi="仿宋_GB2312" w:eastAsia="仿宋_GB2312" w:cs="仿宋_GB2312"/>
          <w:sz w:val="24"/>
        </w:rPr>
        <w:t>乙方</w:t>
      </w:r>
      <w:r>
        <w:rPr>
          <w:rFonts w:hint="eastAsia" w:ascii="仿宋_GB2312" w:hAnsi="仿宋_GB2312" w:eastAsia="仿宋_GB2312" w:cs="仿宋_GB2312"/>
          <w:sz w:val="24"/>
        </w:rPr>
        <w:t>的</w:t>
      </w:r>
      <w:r>
        <w:rPr>
          <w:rFonts w:ascii="仿宋_GB2312" w:hAnsi="仿宋_GB2312" w:eastAsia="仿宋_GB2312" w:cs="仿宋_GB2312"/>
          <w:sz w:val="24"/>
        </w:rPr>
        <w:t>，应</w:t>
      </w:r>
      <w:r>
        <w:rPr>
          <w:rFonts w:hint="eastAsia" w:ascii="仿宋_GB2312" w:hAnsi="仿宋_GB2312" w:eastAsia="仿宋_GB2312" w:cs="仿宋_GB2312"/>
          <w:sz w:val="24"/>
        </w:rPr>
        <w:t>及时</w:t>
      </w:r>
      <w:r>
        <w:rPr>
          <w:rFonts w:ascii="仿宋_GB2312" w:hAnsi="仿宋_GB2312" w:eastAsia="仿宋_GB2312" w:cs="仿宋_GB2312"/>
          <w:sz w:val="24"/>
        </w:rPr>
        <w:t>通知乙方按预案进行撤离或做好相关的工作</w:t>
      </w:r>
      <w:r>
        <w:rPr>
          <w:rFonts w:hint="eastAsia" w:ascii="仿宋_GB2312" w:hAnsi="仿宋_GB2312" w:eastAsia="仿宋_GB2312" w:cs="仿宋_GB2312"/>
          <w:sz w:val="24"/>
        </w:rPr>
        <w:t>。</w:t>
      </w:r>
    </w:p>
    <w:p>
      <w:pPr>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2.当知道乙方发生突发事件时，应积极配合，按预案进行撤离或做好相关的工作。</w:t>
      </w:r>
    </w:p>
    <w:p>
      <w:pPr>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（五）重大安全风险、生产安全重大事故隐患（重大火灾隐患）等情况报告及举报。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1.对乙方上报的重大安全风险、生产安全重大事故隐患（重大火灾隐患），应当如实向公司报告。</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当乙方为与广州市净水有限公司及其所属分、子公司与乙方存在合同关系的单位，如瞒报重大安全风险、生产安全重大事故隐患（重大火灾隐患），甲方除向公司报告外，有权向属地安全应急管理部门、属地行业主管部门举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3.甲方发现乙方在驻点场所开展违法、犯罪活动，向公安部门举报。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（六）事故报告及举报。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1.对乙方上报的安全事故及消防安全事故，应当按公司预案报告。</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2.当乙方为与广州市净水有限公司及其所属分、子公司与乙方存在合同关系的单位，如瞒报安全事故及消防安全事故，甲方除向公司报告外，有权向属地安全应急管理部门、属地行业主管部门举报。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（七）补充条款</w:t>
      </w:r>
      <w:r>
        <w:rPr>
          <w:rFonts w:hint="eastAsia" w:ascii="仿宋_GB2312" w:hAnsi="仿宋_GB2312" w:eastAsia="仿宋_GB2312" w:cs="仿宋_GB2312"/>
          <w:sz w:val="24"/>
          <w:u w:val="single"/>
        </w:rPr>
        <w:t xml:space="preserve">               。</w:t>
      </w:r>
    </w:p>
    <w:p>
      <w:pPr>
        <w:adjustRightInd w:val="0"/>
        <w:snapToGrid w:val="0"/>
        <w:spacing w:line="440" w:lineRule="exact"/>
        <w:ind w:firstLine="480" w:firstLineChars="200"/>
        <w:jc w:val="left"/>
        <w:rPr>
          <w:rFonts w:hint="eastAsia" w:ascii="黑体" w:hAnsi="黑体" w:eastAsia="黑体" w:cs="黑体"/>
          <w:bCs/>
          <w:sz w:val="24"/>
        </w:rPr>
      </w:pPr>
      <w:r>
        <w:rPr>
          <w:rFonts w:hint="eastAsia" w:ascii="黑体" w:hAnsi="黑体" w:eastAsia="黑体" w:cs="黑体"/>
          <w:sz w:val="24"/>
        </w:rPr>
        <w:t>三、乙方的安全及消防安全责任</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kern w:val="0"/>
          <w:sz w:val="24"/>
        </w:rPr>
        <w:t>（一）接受交底告知并复核确认</w:t>
      </w:r>
      <w:r>
        <w:rPr>
          <w:rFonts w:hint="eastAsia" w:ascii="仿宋_GB2312" w:hAnsi="仿宋_GB2312" w:eastAsia="仿宋_GB2312" w:cs="仿宋_GB2312"/>
          <w:sz w:val="24"/>
        </w:rPr>
        <w:t>。</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1.乙方应清楚乙方驻点场所的具体位置，允许进入的区域，如办公区域、住宿区域、作业区域等的，并复核确认。需要在驻点场所内进行作业（施工）的，应征得甲方同意。</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2.乙方应清楚驻点场所存在的危险因素及相关的应急应对办法，复核确认，并对乙方驻点全体人员教育培训。</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3.乙方应向甲方提供乙方的突发事件应急联络方式，以及获取甲方的突发事件应急联络方式。</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（二）在驻点场所的安全管理及消防管理基本要求</w:t>
      </w:r>
    </w:p>
    <w:p>
      <w:pPr>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1.配置消防设施、设备、灭火器材和消防安全警示标识。负责配置及定期检查驻点场所的消防设施、设备、灭火器材和消防安全警示标识，做好检查记录，在有效期结束前或使用后及时更换。</w:t>
      </w:r>
    </w:p>
    <w:p>
      <w:pPr>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当乙方为广州市净水有限公司职能部门、项目组（部）时，消防设施、设备、灭火器材和消防安全警示标识的配置由甲方负责，消防设施、设备、灭火器材和消防安全警示标识的检查由乙方负责。</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2.严禁损坏、遮挡、占用或随意挪用消防设施设备。严禁占用、堵塞安全出口、疏塞通道等部位。</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3.严禁在驻点场所超负荷使用电器、不安全灯具、国家淘汰设备。未经甲方许可，严禁存放、使用易燃、易爆危险化学品。严禁““三合一”现象。</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4.乙方须在驻点区域进行施工作业的，必须向甲方报送负责人、现场安全责任人以及作业人员清单，并提交有关的安全资质、针对性的应急预案等资料给甲方备案。甲方同意后方可施工。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5.乙方必须对进入驻点区域的人员进行三级安全教育和经常性的法律法规、安全培训、消防知识培训等方面的教育，并做好相关记录。</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6.乙方有义务配合甲方及甲方上级单位、政府部门等对乙方驻点区域的安全检查，且应在检查人员进入现场前对检查人员进行安全告知，告知现场存在的危险因素及应急措施，并对检查发现的安全隐患、消防安全隐患及时进行整改。</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7.补充条款</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（三）检查与接受检查，并整改隐患。</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乙方应做好驻点场所的每日安全生产、消防安全巡查及开展人员安全生产、消防安全教育，确保驻点场所内场所、场地、区域、施工、生产、经营等，符合国家、行业安全生产、消防安全相关要求，无对甲方生产安全、消防安全构成威胁，无开展违法、犯罪活动，无存放易燃易爆危险化学品，无乙方人员擅自进入允许范围以外的甲方场所。针对有现场作业（施工）的，有按方案落实各项措施以及及时发现并整改安全隐患、消防安全隐患，杜绝安全事故、消防安全事故。</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2.接受甲方“四不两直”的不定期检查。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（四）突发事件。</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1.当乙方发生突发事件，应通知甲方的，并按预案进行撤离或做好相关的工作。</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2.当甲方通知发生突发事件时，应积极配合，按预案进行撤离或做好相关的工作。</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（五）重大安全风险、生产安全重大事故隐患（重大火灾隐患）报告。</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1.乙方识别存在重大安全风险的，应研究并落实管控措施，降低风险等级，并向甲方、属地安全应急管理部门、属地行业主管部门上报。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2.乙方自查或被外单位检查发现生产安全重大事故隐患（重大火灾隐患）的，应当立即向甲方、属地安全应急管理部门、属地行业主管部门上报。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3.如甲方未收到乙方关于重大安全风险、生产安全重大事故隐患（重大火灾隐患）的报告，但由其他途径获知信息的，视为瞒报。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4.不得谎报信息。</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（六）事故报告。</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1.乙方发生安全事故及消防安全事故的，应当在预案规定时间内立即向甲方报告。否则视为迟报。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当乙方为与广州市净水有限公司及其所属分、子公司与乙方存在合同关系的单位，应向属地安全应急管理部门、属地行业主管部门上报。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2.如甲方未收到乙方关于安全事故及消防安全事故的报告，但由其他途径获知信息的，视为瞒报。</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3.不得谎报信息。</w:t>
      </w:r>
    </w:p>
    <w:p>
      <w:pPr>
        <w:widowControl/>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（六）补充条款</w:t>
      </w:r>
      <w:r>
        <w:rPr>
          <w:rFonts w:hint="eastAsia" w:ascii="仿宋_GB2312" w:hAnsi="仿宋_GB2312" w:eastAsia="仿宋_GB2312" w:cs="仿宋_GB2312"/>
          <w:sz w:val="24"/>
          <w:u w:val="single"/>
        </w:rPr>
        <w:t xml:space="preserve">               。</w:t>
      </w:r>
    </w:p>
    <w:p>
      <w:pPr>
        <w:adjustRightInd w:val="0"/>
        <w:snapToGrid w:val="0"/>
        <w:spacing w:line="440" w:lineRule="exact"/>
        <w:ind w:firstLine="480" w:firstLineChars="200"/>
        <w:jc w:val="left"/>
        <w:rPr>
          <w:rFonts w:hint="eastAsia" w:ascii="黑体" w:hAnsi="黑体" w:eastAsia="黑体" w:cs="黑体"/>
          <w:bCs/>
          <w:sz w:val="24"/>
        </w:rPr>
      </w:pPr>
      <w:r>
        <w:rPr>
          <w:rFonts w:hint="eastAsia" w:ascii="黑体" w:hAnsi="黑体" w:eastAsia="黑体" w:cs="黑体"/>
          <w:sz w:val="24"/>
        </w:rPr>
        <w:t>四、违约责任</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（一）广州市净水有限公司及其所属分、子公司与乙方存在合同关系的</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1.未发生安全事故或消防安全事故的违约责任</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（1）乙方未履行安全及消防安全责任的，甲方有权按合同相关条款处理。多次提出整改无效或按合同条款处理仍无改善的，甲方有权终止乙方驻点权利，并告知乙方上级管理单位。</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（2）因甲方未履行安全及消防安全责任，乙方有权按合同相关条款处理。</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2.发生安全事故或消防安全事故的违约责任</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乙方发生安全事故或消防安全事故的，乙方须立即开展事故处置，并双倍赔偿甲方的全部损失（包括但不限于甲方的直接经济损失和间接经济损失、为处理事故支出的费用、为恢复正常生产产生的费用、因事故被有关单位追究的经济考核扣罚以及因造成第三方损失而支出的赔偿款、律师费、诉讼费等）</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（2）如甲方未能提供甲方履职证明的，根据责任调查报告（意见）承担责任。</w:t>
      </w:r>
    </w:p>
    <w:p>
      <w:pPr>
        <w:widowControl/>
        <w:spacing w:line="440" w:lineRule="exact"/>
        <w:ind w:firstLine="480" w:firstLineChars="200"/>
        <w:jc w:val="left"/>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（二）当甲方、乙方均为广州市净水有限公司所属职能部门、分（子）公司、项目组（部）的，按公司内部安全考核或安全责任追究等有关制度处理。</w:t>
      </w:r>
    </w:p>
    <w:p>
      <w:pPr>
        <w:adjustRightInd w:val="0"/>
        <w:snapToGrid w:val="0"/>
        <w:spacing w:line="440" w:lineRule="exact"/>
        <w:ind w:firstLine="480" w:firstLineChars="200"/>
        <w:jc w:val="left"/>
        <w:rPr>
          <w:rFonts w:hint="eastAsia" w:ascii="黑体" w:hAnsi="黑体" w:eastAsia="黑体" w:cs="黑体"/>
          <w:bCs/>
          <w:sz w:val="24"/>
        </w:rPr>
      </w:pPr>
      <w:r>
        <w:rPr>
          <w:rFonts w:hint="eastAsia" w:ascii="黑体" w:hAnsi="黑体" w:eastAsia="黑体" w:cs="黑体"/>
          <w:sz w:val="24"/>
        </w:rPr>
        <w:t>五、附则</w:t>
      </w:r>
    </w:p>
    <w:p>
      <w:pPr>
        <w:adjustRightInd w:val="0"/>
        <w:snapToGrid w:val="0"/>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（一）本协议未尽事宜，依据有关法律、法规、规章处理。法律、法规、规章没有明确规定的，经双方协商处理解决。</w:t>
      </w:r>
    </w:p>
    <w:p>
      <w:pPr>
        <w:adjustRightInd w:val="0"/>
        <w:snapToGrid w:val="0"/>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（二）在合同（协议）执行期间，因国家、地方、以及广州市净水有限公司印发有关文件，加强安全管理要求的，乙方应按最新要求无条件执行。如不执行，甲方有权根据合同或有关文件进行处理。</w:t>
      </w:r>
    </w:p>
    <w:p>
      <w:pPr>
        <w:adjustRightInd w:val="0"/>
        <w:snapToGrid w:val="0"/>
        <w:spacing w:line="440" w:lineRule="exact"/>
        <w:ind w:firstLine="480" w:firstLineChars="200"/>
        <w:jc w:val="left"/>
        <w:rPr>
          <w:rFonts w:hint="eastAsia" w:ascii="仿宋_GB2312" w:hAnsi="仿宋_GB2312" w:eastAsia="仿宋_GB2312" w:cs="仿宋_GB2312"/>
          <w:sz w:val="24"/>
        </w:rPr>
      </w:pPr>
      <w:r>
        <w:rPr>
          <w:rFonts w:hint="eastAsia" w:ascii="仿宋_GB2312" w:hAnsi="仿宋_GB2312" w:eastAsia="仿宋_GB2312" w:cs="仿宋_GB2312"/>
          <w:sz w:val="24"/>
        </w:rPr>
        <w:t>（三）本协议原则上每年一签。甲方、乙方双方执持数量与合同一致。</w:t>
      </w:r>
    </w:p>
    <w:p>
      <w:pPr>
        <w:rPr>
          <w:rFonts w:hint="eastAsia" w:ascii="仿宋_GB2312" w:hAnsi="仿宋_GB2312" w:eastAsia="仿宋_GB2312" w:cs="仿宋_GB2312"/>
          <w:sz w:val="24"/>
        </w:rPr>
      </w:pPr>
    </w:p>
    <w:tbl>
      <w:tblPr>
        <w:tblStyle w:val="1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473" w:type="dxa"/>
          </w:tcPr>
          <w:p>
            <w:pPr>
              <w:adjustRightInd w:val="0"/>
              <w:snapToGrid w:val="0"/>
              <w:spacing w:line="560" w:lineRule="exact"/>
              <w:ind w:firstLine="480"/>
              <w:rPr>
                <w:rFonts w:hint="eastAsia" w:ascii="仿宋_GB2312" w:hAnsi="仿宋_GB2312" w:eastAsia="仿宋_GB2312" w:cs="仿宋_GB2312"/>
                <w:sz w:val="24"/>
              </w:rPr>
            </w:pPr>
            <w:r>
              <w:rPr>
                <w:rFonts w:hint="eastAsia" w:ascii="仿宋_GB2312" w:hAnsi="仿宋_GB2312" w:eastAsia="仿宋_GB2312" w:cs="仿宋_GB2312"/>
                <w:sz w:val="24"/>
              </w:rPr>
              <w:t>甲方（盖章）：</w:t>
            </w:r>
          </w:p>
          <w:p>
            <w:pPr>
              <w:adjustRightInd w:val="0"/>
              <w:snapToGrid w:val="0"/>
              <w:spacing w:line="560" w:lineRule="exact"/>
              <w:ind w:firstLine="480"/>
              <w:rPr>
                <w:rFonts w:hint="eastAsia" w:ascii="仿宋_GB2312" w:hAnsi="仿宋_GB2312" w:eastAsia="仿宋_GB2312" w:cs="仿宋_GB2312"/>
                <w:sz w:val="24"/>
              </w:rPr>
            </w:pPr>
            <w:r>
              <w:rPr>
                <w:rFonts w:hint="eastAsia" w:ascii="仿宋_GB2312" w:hAnsi="仿宋_GB2312" w:eastAsia="仿宋_GB2312" w:cs="仿宋_GB2312"/>
                <w:sz w:val="24"/>
              </w:rPr>
              <w:t>签约代表：</w:t>
            </w:r>
          </w:p>
          <w:p>
            <w:pPr>
              <w:adjustRightInd w:val="0"/>
              <w:snapToGrid w:val="0"/>
              <w:spacing w:line="560" w:lineRule="exact"/>
              <w:ind w:firstLine="480"/>
              <w:rPr>
                <w:rFonts w:hint="eastAsia" w:ascii="仿宋_GB2312" w:hAnsi="仿宋_GB2312" w:eastAsia="仿宋_GB2312" w:cs="仿宋_GB2312"/>
                <w:sz w:val="24"/>
              </w:rPr>
            </w:pPr>
            <w:r>
              <w:rPr>
                <w:rFonts w:hint="eastAsia" w:ascii="仿宋_GB2312" w:hAnsi="仿宋_GB2312" w:eastAsia="仿宋_GB2312" w:cs="仿宋_GB2312"/>
                <w:sz w:val="24"/>
              </w:rPr>
              <w:t>联系电话：</w:t>
            </w:r>
          </w:p>
          <w:p>
            <w:pPr>
              <w:adjustRightInd w:val="0"/>
              <w:snapToGrid w:val="0"/>
              <w:spacing w:line="560" w:lineRule="exact"/>
              <w:ind w:firstLine="240" w:firstLineChars="100"/>
              <w:jc w:val="right"/>
              <w:rPr>
                <w:rFonts w:hint="eastAsia" w:ascii="仿宋_GB2312" w:hAnsi="仿宋_GB2312" w:eastAsia="仿宋_GB2312" w:cs="仿宋_GB2312"/>
                <w:sz w:val="24"/>
              </w:rPr>
            </w:pPr>
            <w:r>
              <w:rPr>
                <w:rFonts w:hint="eastAsia" w:ascii="仿宋_GB2312" w:hAnsi="仿宋_GB2312" w:eastAsia="仿宋_GB2312" w:cs="仿宋_GB2312"/>
                <w:sz w:val="24"/>
              </w:rPr>
              <w:t>年    月    日</w:t>
            </w:r>
          </w:p>
        </w:tc>
        <w:tc>
          <w:tcPr>
            <w:tcW w:w="4474" w:type="dxa"/>
          </w:tcPr>
          <w:p>
            <w:pPr>
              <w:adjustRightInd w:val="0"/>
              <w:snapToGrid w:val="0"/>
              <w:spacing w:line="560" w:lineRule="exact"/>
              <w:ind w:firstLine="480"/>
              <w:rPr>
                <w:rFonts w:hint="eastAsia" w:ascii="仿宋_GB2312" w:hAnsi="仿宋_GB2312" w:eastAsia="仿宋_GB2312" w:cs="仿宋_GB2312"/>
                <w:sz w:val="24"/>
              </w:rPr>
            </w:pPr>
            <w:r>
              <w:rPr>
                <w:rFonts w:hint="eastAsia" w:ascii="仿宋_GB2312" w:hAnsi="仿宋_GB2312" w:eastAsia="仿宋_GB2312" w:cs="仿宋_GB2312"/>
                <w:sz w:val="24"/>
              </w:rPr>
              <w:t>乙方（盖章）：</w:t>
            </w:r>
          </w:p>
          <w:p>
            <w:pPr>
              <w:adjustRightInd w:val="0"/>
              <w:snapToGrid w:val="0"/>
              <w:spacing w:line="560" w:lineRule="exact"/>
              <w:ind w:firstLine="480"/>
              <w:rPr>
                <w:rFonts w:hint="eastAsia" w:ascii="仿宋_GB2312" w:hAnsi="仿宋_GB2312" w:eastAsia="仿宋_GB2312" w:cs="仿宋_GB2312"/>
                <w:sz w:val="24"/>
              </w:rPr>
            </w:pPr>
            <w:r>
              <w:rPr>
                <w:rFonts w:hint="eastAsia" w:ascii="仿宋_GB2312" w:hAnsi="仿宋_GB2312" w:eastAsia="仿宋_GB2312" w:cs="仿宋_GB2312"/>
                <w:sz w:val="24"/>
              </w:rPr>
              <w:t>签约代表：</w:t>
            </w:r>
          </w:p>
          <w:p>
            <w:pPr>
              <w:adjustRightInd w:val="0"/>
              <w:snapToGrid w:val="0"/>
              <w:spacing w:line="560" w:lineRule="exact"/>
              <w:ind w:firstLine="480"/>
              <w:rPr>
                <w:rFonts w:hint="eastAsia" w:ascii="仿宋_GB2312" w:hAnsi="仿宋_GB2312" w:eastAsia="仿宋_GB2312" w:cs="仿宋_GB2312"/>
                <w:sz w:val="24"/>
              </w:rPr>
            </w:pPr>
            <w:r>
              <w:rPr>
                <w:rFonts w:hint="eastAsia" w:ascii="仿宋_GB2312" w:hAnsi="仿宋_GB2312" w:eastAsia="仿宋_GB2312" w:cs="仿宋_GB2312"/>
                <w:sz w:val="24"/>
              </w:rPr>
              <w:t>联系电话：</w:t>
            </w:r>
          </w:p>
          <w:p>
            <w:pPr>
              <w:adjustRightInd w:val="0"/>
              <w:snapToGrid w:val="0"/>
              <w:spacing w:line="560" w:lineRule="exact"/>
              <w:ind w:firstLine="480"/>
              <w:jc w:val="right"/>
              <w:rPr>
                <w:rFonts w:hint="eastAsia" w:ascii="仿宋_GB2312" w:hAnsi="仿宋_GB2312" w:eastAsia="仿宋_GB2312" w:cs="仿宋_GB2312"/>
                <w:sz w:val="24"/>
              </w:rPr>
            </w:pPr>
            <w:r>
              <w:rPr>
                <w:rFonts w:hint="eastAsia" w:ascii="仿宋_GB2312" w:hAnsi="仿宋_GB2312" w:eastAsia="仿宋_GB2312" w:cs="仿宋_GB2312"/>
                <w:sz w:val="24"/>
              </w:rPr>
              <w:t>年    月    日</w:t>
            </w:r>
          </w:p>
        </w:tc>
      </w:tr>
    </w:tbl>
    <w:p/>
    <w:p>
      <w:pPr>
        <w:rPr>
          <w:rFonts w:hint="eastAsia" w:cs="仿宋_GB2312" w:asciiTheme="minorEastAsia" w:hAnsiTheme="minorEastAsia"/>
          <w:sz w:val="28"/>
          <w:szCs w:val="28"/>
        </w:rPr>
      </w:pPr>
    </w:p>
    <w:p>
      <w:pPr>
        <w:rPr>
          <w:rFonts w:hint="eastAsia" w:ascii="宋体" w:hAnsi="宋体" w:cs="宋体"/>
          <w:kern w:val="0"/>
          <w:sz w:val="24"/>
        </w:rPr>
      </w:pPr>
      <w:r>
        <w:rPr>
          <w:rFonts w:ascii="宋体" w:hAnsi="宋体" w:cs="宋体"/>
          <w:kern w:val="0"/>
          <w:sz w:val="24"/>
        </w:rPr>
        <w:br w:type="page"/>
      </w:r>
    </w:p>
    <w:p>
      <w:pPr>
        <w:jc w:val="left"/>
        <w:rPr>
          <w:rFonts w:hint="eastAsia" w:ascii="仿宋" w:hAnsi="仿宋" w:eastAsia="仿宋" w:cs="仿宋"/>
          <w:b/>
          <w:bCs/>
          <w:sz w:val="30"/>
          <w:szCs w:val="30"/>
        </w:rPr>
      </w:pPr>
      <w:r>
        <w:rPr>
          <w:rFonts w:hint="eastAsia" w:ascii="仿宋" w:hAnsi="仿宋" w:eastAsia="仿宋" w:cs="仿宋"/>
          <w:b/>
          <w:bCs/>
          <w:sz w:val="30"/>
          <w:szCs w:val="30"/>
        </w:rPr>
        <w:t>附件三</w:t>
      </w:r>
    </w:p>
    <w:p>
      <w:pPr>
        <w:jc w:val="center"/>
        <w:rPr>
          <w:rFonts w:hint="eastAsia" w:ascii="仿宋" w:hAnsi="仿宋" w:eastAsia="仿宋" w:cs="仿宋"/>
          <w:b/>
          <w:bCs/>
          <w:sz w:val="30"/>
          <w:szCs w:val="30"/>
        </w:rPr>
      </w:pPr>
      <w:r>
        <w:rPr>
          <w:rFonts w:hint="eastAsia" w:ascii="仿宋" w:hAnsi="仿宋" w:eastAsia="仿宋" w:cs="仿宋"/>
          <w:b/>
          <w:bCs/>
          <w:sz w:val="30"/>
          <w:szCs w:val="30"/>
        </w:rPr>
        <w:t>保密协议</w:t>
      </w:r>
    </w:p>
    <w:p>
      <w:pPr>
        <w:jc w:val="left"/>
        <w:rPr>
          <w:rFonts w:hint="eastAsia" w:ascii="仿宋" w:hAnsi="仿宋" w:eastAsia="仿宋" w:cs="仿宋"/>
          <w:sz w:val="30"/>
          <w:szCs w:val="30"/>
        </w:rPr>
      </w:pPr>
      <w:r>
        <w:rPr>
          <w:rFonts w:hint="eastAsia" w:ascii="仿宋" w:hAnsi="仿宋" w:eastAsia="仿宋" w:cs="仿宋"/>
          <w:sz w:val="30"/>
          <w:szCs w:val="30"/>
        </w:rPr>
        <w:t xml:space="preserve">甲方: </w:t>
      </w:r>
      <w:r>
        <w:rPr>
          <w:rFonts w:hint="eastAsia" w:ascii="仿宋" w:hAnsi="仿宋" w:eastAsia="仿宋" w:cs="仿宋"/>
          <w:sz w:val="30"/>
          <w:szCs w:val="30"/>
        </w:rPr>
        <w:br w:type="textWrapping"/>
      </w:r>
      <w:r>
        <w:rPr>
          <w:rFonts w:hint="eastAsia" w:ascii="仿宋" w:hAnsi="仿宋" w:eastAsia="仿宋" w:cs="仿宋"/>
          <w:sz w:val="30"/>
          <w:szCs w:val="30"/>
        </w:rPr>
        <w:t xml:space="preserve">乙方: </w:t>
      </w:r>
      <w:r>
        <w:rPr>
          <w:rFonts w:hint="eastAsia" w:ascii="仿宋" w:hAnsi="仿宋" w:eastAsia="仿宋" w:cs="仿宋"/>
          <w:sz w:val="30"/>
          <w:szCs w:val="30"/>
        </w:rPr>
        <w:br w:type="textWrapping"/>
      </w:r>
      <w:r>
        <w:rPr>
          <w:rFonts w:hint="eastAsia" w:ascii="仿宋" w:hAnsi="仿宋" w:eastAsia="仿宋" w:cs="仿宋"/>
          <w:sz w:val="30"/>
          <w:szCs w:val="30"/>
        </w:rPr>
        <w:t xml:space="preserve">    乙方现正参与</w:t>
      </w:r>
      <w:r>
        <w:rPr>
          <w:rFonts w:hint="eastAsia" w:ascii="仿宋" w:hAnsi="仿宋" w:eastAsia="仿宋" w:cs="仿宋"/>
          <w:sz w:val="30"/>
          <w:szCs w:val="30"/>
          <w:u w:val="single"/>
        </w:rPr>
        <w:t xml:space="preserve"> 合同名称（穗净水合[    ]   号） </w:t>
      </w:r>
      <w:r>
        <w:rPr>
          <w:rFonts w:hint="eastAsia" w:ascii="仿宋" w:hAnsi="仿宋" w:eastAsia="仿宋" w:cs="仿宋"/>
          <w:sz w:val="30"/>
          <w:szCs w:val="30"/>
        </w:rPr>
        <w:t>项目，已经(或将要)知悉甲方的设备、运行等保密信息，为明确双方的保密义务，有效保护双方的利益，防止甲方保密信息被公开披露或以任何形式泄漏，甲、乙双方本着平等、自愿、公平和诚实信用的原则签订本保密协议。</w:t>
      </w:r>
      <w:r>
        <w:rPr>
          <w:rFonts w:hint="eastAsia" w:ascii="仿宋" w:hAnsi="仿宋" w:eastAsia="仿宋" w:cs="仿宋"/>
          <w:sz w:val="30"/>
          <w:szCs w:val="30"/>
        </w:rPr>
        <w:br w:type="textWrapping"/>
      </w:r>
      <w:r>
        <w:rPr>
          <w:rFonts w:hint="eastAsia" w:ascii="仿宋" w:hAnsi="仿宋" w:eastAsia="仿宋" w:cs="仿宋"/>
          <w:sz w:val="30"/>
          <w:szCs w:val="30"/>
        </w:rPr>
        <w:t xml:space="preserve">    第一条  保密信息</w:t>
      </w:r>
      <w:r>
        <w:rPr>
          <w:rFonts w:hint="eastAsia" w:ascii="仿宋" w:hAnsi="仿宋" w:eastAsia="仿宋" w:cs="仿宋"/>
          <w:sz w:val="30"/>
          <w:szCs w:val="30"/>
        </w:rPr>
        <w:br w:type="textWrapping"/>
      </w:r>
      <w:r>
        <w:rPr>
          <w:rFonts w:hint="eastAsia" w:ascii="仿宋" w:hAnsi="仿宋" w:eastAsia="仿宋" w:cs="仿宋"/>
          <w:sz w:val="30"/>
          <w:szCs w:val="30"/>
        </w:rPr>
        <w:t xml:space="preserve">    本协议所指的保密信息:</w:t>
      </w:r>
      <w:r>
        <w:rPr>
          <w:rFonts w:hint="eastAsia" w:ascii="仿宋" w:hAnsi="仿宋" w:eastAsia="仿宋" w:cs="仿宋"/>
          <w:sz w:val="30"/>
          <w:szCs w:val="30"/>
        </w:rPr>
        <w:br w:type="textWrapping"/>
      </w:r>
      <w:r>
        <w:rPr>
          <w:rFonts w:hint="eastAsia" w:ascii="仿宋" w:hAnsi="仿宋" w:eastAsia="仿宋" w:cs="仿宋"/>
          <w:sz w:val="30"/>
          <w:szCs w:val="30"/>
        </w:rPr>
        <w:t xml:space="preserve">    (一)系指乙方在合同履行过程中所获悉的甲方的所有材料及信息，包括但不限于:</w:t>
      </w:r>
      <w:r>
        <w:rPr>
          <w:rFonts w:hint="eastAsia" w:ascii="仿宋" w:hAnsi="仿宋" w:eastAsia="仿宋" w:cs="仿宋"/>
          <w:sz w:val="30"/>
          <w:szCs w:val="30"/>
        </w:rPr>
        <w:br w:type="textWrapping"/>
      </w:r>
      <w:r>
        <w:rPr>
          <w:rFonts w:hint="eastAsia" w:ascii="仿宋" w:hAnsi="仿宋" w:eastAsia="仿宋" w:cs="仿宋"/>
          <w:sz w:val="30"/>
          <w:szCs w:val="30"/>
        </w:rPr>
        <w:t xml:space="preserve">   1.污泥脱水、干化处理系统设备设施参数、工况参数。</w:t>
      </w:r>
    </w:p>
    <w:p>
      <w:pPr>
        <w:jc w:val="left"/>
        <w:rPr>
          <w:rFonts w:hint="eastAsia" w:ascii="仿宋" w:hAnsi="仿宋" w:eastAsia="仿宋" w:cs="仿宋"/>
          <w:sz w:val="30"/>
          <w:szCs w:val="30"/>
        </w:rPr>
      </w:pPr>
      <w:r>
        <w:rPr>
          <w:rFonts w:hint="eastAsia" w:ascii="仿宋" w:hAnsi="仿宋" w:eastAsia="仿宋" w:cs="仿宋"/>
          <w:sz w:val="30"/>
          <w:szCs w:val="30"/>
        </w:rPr>
        <w:t>2.污泥干化车间所有运行数据、参数。</w:t>
      </w:r>
    </w:p>
    <w:p>
      <w:pPr>
        <w:jc w:val="left"/>
        <w:rPr>
          <w:rFonts w:hint="eastAsia" w:ascii="仿宋" w:hAnsi="仿宋" w:eastAsia="仿宋" w:cs="仿宋"/>
          <w:sz w:val="30"/>
          <w:szCs w:val="30"/>
        </w:rPr>
      </w:pPr>
      <w:r>
        <w:rPr>
          <w:rFonts w:hint="eastAsia" w:ascii="仿宋" w:hAnsi="仿宋" w:eastAsia="仿宋" w:cs="仿宋"/>
          <w:sz w:val="30"/>
          <w:szCs w:val="30"/>
        </w:rPr>
        <w:t>3.广州市净水有限公司污水处理厂所有运行数据、参数、经营信息。</w:t>
      </w:r>
      <w:r>
        <w:rPr>
          <w:rFonts w:hint="eastAsia" w:ascii="仿宋" w:hAnsi="仿宋" w:eastAsia="仿宋" w:cs="仿宋"/>
          <w:sz w:val="30"/>
          <w:szCs w:val="30"/>
        </w:rPr>
        <w:br w:type="textWrapping"/>
      </w:r>
      <w:r>
        <w:rPr>
          <w:rFonts w:hint="eastAsia" w:ascii="仿宋" w:hAnsi="仿宋" w:eastAsia="仿宋" w:cs="仿宋"/>
          <w:sz w:val="30"/>
          <w:szCs w:val="30"/>
        </w:rPr>
        <w:t xml:space="preserve">    4.甲方声明的设施设备操作、维修维护注意事项。</w:t>
      </w:r>
    </w:p>
    <w:p>
      <w:pPr>
        <w:jc w:val="left"/>
        <w:rPr>
          <w:rFonts w:hint="eastAsia" w:ascii="仿宋" w:hAnsi="仿宋" w:eastAsia="仿宋" w:cs="仿宋"/>
          <w:sz w:val="30"/>
          <w:szCs w:val="30"/>
        </w:rPr>
      </w:pPr>
      <w:r>
        <w:rPr>
          <w:rFonts w:hint="eastAsia" w:ascii="仿宋" w:hAnsi="仿宋" w:eastAsia="仿宋" w:cs="仿宋"/>
          <w:sz w:val="30"/>
          <w:szCs w:val="30"/>
        </w:rPr>
        <w:t>（二）系指乙方在合同履行过程中乙方所使用的:</w:t>
      </w:r>
    </w:p>
    <w:p>
      <w:pPr>
        <w:jc w:val="left"/>
        <w:rPr>
          <w:rFonts w:hint="eastAsia" w:ascii="仿宋" w:hAnsi="仿宋" w:eastAsia="仿宋" w:cs="仿宋"/>
          <w:sz w:val="30"/>
          <w:szCs w:val="30"/>
        </w:rPr>
      </w:pPr>
      <w:r>
        <w:rPr>
          <w:rFonts w:hint="eastAsia" w:ascii="仿宋" w:hAnsi="仿宋" w:eastAsia="仿宋" w:cs="仿宋"/>
          <w:sz w:val="30"/>
          <w:szCs w:val="30"/>
        </w:rPr>
        <w:t>污泥药剂成分、配比信息</w:t>
      </w:r>
    </w:p>
    <w:p>
      <w:pPr>
        <w:jc w:val="left"/>
        <w:rPr>
          <w:rFonts w:hint="eastAsia" w:ascii="仿宋" w:hAnsi="仿宋" w:eastAsia="仿宋" w:cs="仿宋"/>
          <w:sz w:val="30"/>
          <w:szCs w:val="30"/>
        </w:rPr>
      </w:pPr>
      <w:r>
        <w:rPr>
          <w:rFonts w:hint="eastAsia" w:ascii="仿宋" w:hAnsi="仿宋" w:eastAsia="仿宋" w:cs="仿宋"/>
          <w:sz w:val="30"/>
          <w:szCs w:val="30"/>
        </w:rPr>
        <w:t>第二条  保密义务人</w:t>
      </w:r>
      <w:r>
        <w:rPr>
          <w:rFonts w:hint="eastAsia" w:ascii="仿宋" w:hAnsi="仿宋" w:eastAsia="仿宋" w:cs="仿宋"/>
          <w:sz w:val="30"/>
          <w:szCs w:val="30"/>
        </w:rPr>
        <w:br w:type="textWrapping"/>
      </w:r>
      <w:r>
        <w:rPr>
          <w:rFonts w:hint="eastAsia" w:ascii="仿宋" w:hAnsi="仿宋" w:eastAsia="仿宋" w:cs="仿宋"/>
          <w:sz w:val="30"/>
          <w:szCs w:val="30"/>
        </w:rPr>
        <w:br w:type="textWrapping"/>
      </w:r>
      <w:r>
        <w:rPr>
          <w:rFonts w:hint="eastAsia" w:ascii="仿宋" w:hAnsi="仿宋" w:eastAsia="仿宋" w:cs="仿宋"/>
          <w:sz w:val="30"/>
          <w:szCs w:val="30"/>
        </w:rPr>
        <w:t xml:space="preserve">    甲、乙双方均为本协议所称的保密义务人，双方对前述对方实际移交的第一条约定的保密信息承担保密义务。未经一方同意， 另一方不得向第三方提供或披露上述保密信息(因行政管理部门或者司法部门要求提供或披露的信息除外，但应及时知会对方。)</w:t>
      </w:r>
    </w:p>
    <w:p>
      <w:pPr>
        <w:jc w:val="left"/>
        <w:rPr>
          <w:rFonts w:hint="eastAsia" w:ascii="仿宋" w:hAnsi="仿宋" w:eastAsia="仿宋" w:cs="仿宋"/>
          <w:sz w:val="30"/>
          <w:szCs w:val="30"/>
        </w:rPr>
      </w:pPr>
      <w:r>
        <w:rPr>
          <w:rFonts w:hint="eastAsia" w:ascii="仿宋" w:hAnsi="仿宋" w:eastAsia="仿宋" w:cs="仿宋"/>
          <w:sz w:val="30"/>
          <w:szCs w:val="30"/>
        </w:rPr>
        <w:t>第三条  保密义务人的保密义务</w:t>
      </w:r>
    </w:p>
    <w:p>
      <w:pPr>
        <w:jc w:val="left"/>
        <w:rPr>
          <w:rFonts w:hint="eastAsia" w:ascii="仿宋" w:hAnsi="仿宋" w:eastAsia="仿宋" w:cs="仿宋"/>
          <w:sz w:val="30"/>
          <w:szCs w:val="30"/>
        </w:rPr>
      </w:pPr>
      <w:r>
        <w:rPr>
          <w:rFonts w:hint="eastAsia" w:ascii="仿宋" w:hAnsi="仿宋" w:eastAsia="仿宋" w:cs="仿宋"/>
          <w:sz w:val="30"/>
          <w:szCs w:val="30"/>
        </w:rPr>
        <w:t>1.乙方保证用于履行合同的技术信息、专有信息、经营信息等文件和资料均享有合法的所有权、著作权、专利权等权利，或已依法取得相关授权许可。如因乙方侵犯第三方的知识产权造成的法律责任，均由乙方承担并赔偿甲方的损失。</w:t>
      </w:r>
    </w:p>
    <w:p>
      <w:pPr>
        <w:jc w:val="left"/>
        <w:rPr>
          <w:rFonts w:hint="eastAsia" w:ascii="仿宋" w:hAnsi="仿宋" w:eastAsia="仿宋" w:cs="仿宋"/>
          <w:sz w:val="30"/>
          <w:szCs w:val="30"/>
        </w:rPr>
      </w:pPr>
      <w:r>
        <w:rPr>
          <w:rFonts w:hint="eastAsia" w:ascii="仿宋" w:hAnsi="仿宋" w:eastAsia="仿宋" w:cs="仿宋"/>
          <w:sz w:val="30"/>
          <w:szCs w:val="30"/>
        </w:rPr>
        <w:t>2. 乙方承诺，未经甲方同意，乙方不得公开甲方移交给乙方的项目的保密信息，否则甲方有权提取乙方的全部履约保证金，由此造成的损失由乙方承担。</w:t>
      </w:r>
    </w:p>
    <w:p>
      <w:pPr>
        <w:jc w:val="left"/>
        <w:rPr>
          <w:rFonts w:hint="eastAsia" w:ascii="仿宋" w:hAnsi="仿宋" w:eastAsia="仿宋" w:cs="仿宋"/>
          <w:sz w:val="30"/>
          <w:szCs w:val="30"/>
        </w:rPr>
      </w:pPr>
      <w:r>
        <w:rPr>
          <w:rFonts w:hint="eastAsia" w:ascii="仿宋" w:hAnsi="仿宋" w:eastAsia="仿宋" w:cs="仿宋"/>
          <w:sz w:val="30"/>
          <w:szCs w:val="30"/>
        </w:rPr>
        <w:t>3.甲方及下属单位、分公司、子公司有权使用甲方在合同履行过程中获悉的乙方所有涉密资料，为该合同和今后甲方及下属污水处理厂使用。除此目的外除此之外，未经乙方同意，甲方不得以任何方式揭露或提供给第三人。</w:t>
      </w:r>
    </w:p>
    <w:p>
      <w:pPr>
        <w:jc w:val="left"/>
        <w:rPr>
          <w:rFonts w:hint="eastAsia" w:ascii="仿宋" w:hAnsi="仿宋" w:eastAsia="仿宋" w:cs="仿宋"/>
          <w:sz w:val="30"/>
          <w:szCs w:val="30"/>
        </w:rPr>
      </w:pPr>
      <w:r>
        <w:rPr>
          <w:rFonts w:hint="eastAsia" w:ascii="仿宋" w:hAnsi="仿宋" w:eastAsia="仿宋" w:cs="仿宋"/>
          <w:sz w:val="30"/>
          <w:szCs w:val="30"/>
        </w:rPr>
        <w:t>第四条  本协议书之效力、权利归属</w:t>
      </w:r>
    </w:p>
    <w:p>
      <w:pPr>
        <w:jc w:val="left"/>
        <w:rPr>
          <w:rFonts w:hint="eastAsia" w:ascii="仿宋" w:hAnsi="仿宋" w:eastAsia="仿宋" w:cs="仿宋"/>
          <w:sz w:val="30"/>
          <w:szCs w:val="30"/>
        </w:rPr>
      </w:pPr>
      <w:r>
        <w:rPr>
          <w:rFonts w:hint="eastAsia" w:ascii="仿宋" w:hAnsi="仿宋" w:eastAsia="仿宋" w:cs="仿宋"/>
          <w:sz w:val="30"/>
          <w:szCs w:val="30"/>
        </w:rPr>
        <w:t>本协议中甲方享有的全部权利均及于甲方及下属单位、分公司、子公司广州市净水有限公司与乙方进行项目合作的子公司、分公司或其他分支机构。双方承担的义务均及于双方所属母公司、下属子公司、分公司、其他分支机构及其下属员工。</w:t>
      </w:r>
    </w:p>
    <w:p>
      <w:pPr>
        <w:jc w:val="left"/>
        <w:rPr>
          <w:rFonts w:hint="eastAsia" w:ascii="仿宋" w:hAnsi="仿宋" w:eastAsia="仿宋" w:cs="仿宋"/>
          <w:sz w:val="30"/>
          <w:szCs w:val="30"/>
        </w:rPr>
      </w:pPr>
      <w:r>
        <w:rPr>
          <w:rFonts w:hint="eastAsia" w:ascii="仿宋" w:hAnsi="仿宋" w:eastAsia="仿宋" w:cs="仿宋"/>
          <w:sz w:val="30"/>
          <w:szCs w:val="30"/>
        </w:rPr>
        <w:t>第五条  违约责任</w:t>
      </w:r>
    </w:p>
    <w:p>
      <w:pPr>
        <w:jc w:val="left"/>
        <w:rPr>
          <w:rFonts w:hint="eastAsia" w:ascii="仿宋" w:hAnsi="仿宋" w:eastAsia="仿宋" w:cs="仿宋"/>
          <w:sz w:val="30"/>
          <w:szCs w:val="30"/>
        </w:rPr>
      </w:pPr>
      <w:r>
        <w:rPr>
          <w:rFonts w:hint="eastAsia" w:ascii="仿宋" w:hAnsi="仿宋" w:eastAsia="仿宋" w:cs="仿宋"/>
          <w:sz w:val="30"/>
          <w:szCs w:val="30"/>
        </w:rPr>
        <w:t>1.甲乙双方如故意、过失将保密信息泄露给第三方导致对方损失的，应对此进行赔偿。</w:t>
      </w:r>
    </w:p>
    <w:p>
      <w:pPr>
        <w:jc w:val="left"/>
        <w:rPr>
          <w:rFonts w:hint="eastAsia" w:ascii="仿宋" w:hAnsi="仿宋" w:eastAsia="仿宋" w:cs="仿宋"/>
          <w:sz w:val="30"/>
          <w:szCs w:val="30"/>
        </w:rPr>
      </w:pPr>
      <w:r>
        <w:rPr>
          <w:rFonts w:hint="eastAsia" w:ascii="仿宋" w:hAnsi="仿宋" w:eastAsia="仿宋" w:cs="仿宋"/>
          <w:sz w:val="30"/>
          <w:szCs w:val="30"/>
        </w:rPr>
        <w:t>2.因调查对方的违约或授权行为而支付的合理费用，如律师费、公证费、取证费等，应当包含在损失赔偿额之内。</w:t>
      </w:r>
    </w:p>
    <w:p>
      <w:pPr>
        <w:jc w:val="left"/>
        <w:rPr>
          <w:rFonts w:hint="eastAsia" w:ascii="仿宋" w:hAnsi="仿宋" w:eastAsia="仿宋" w:cs="仿宋"/>
          <w:sz w:val="30"/>
          <w:szCs w:val="30"/>
        </w:rPr>
      </w:pPr>
      <w:r>
        <w:rPr>
          <w:rFonts w:hint="eastAsia" w:ascii="仿宋" w:hAnsi="仿宋" w:eastAsia="仿宋" w:cs="仿宋"/>
          <w:sz w:val="30"/>
          <w:szCs w:val="30"/>
        </w:rPr>
        <w:t>3.任何一方恶意泄露商业秘密的，对方有权通过法律手段追究其法律责任。</w:t>
      </w:r>
    </w:p>
    <w:p>
      <w:pPr>
        <w:jc w:val="left"/>
        <w:rPr>
          <w:rFonts w:hint="eastAsia" w:ascii="仿宋" w:hAnsi="仿宋" w:eastAsia="仿宋" w:cs="仿宋"/>
          <w:sz w:val="30"/>
          <w:szCs w:val="30"/>
        </w:rPr>
      </w:pPr>
      <w:r>
        <w:rPr>
          <w:rFonts w:hint="eastAsia" w:ascii="仿宋" w:hAnsi="仿宋" w:eastAsia="仿宋" w:cs="仿宋"/>
          <w:sz w:val="30"/>
          <w:szCs w:val="30"/>
        </w:rPr>
        <w:t>第六条  争议的解决方法</w:t>
      </w:r>
    </w:p>
    <w:p>
      <w:pPr>
        <w:jc w:val="left"/>
        <w:rPr>
          <w:rFonts w:hint="eastAsia" w:ascii="仿宋" w:hAnsi="仿宋" w:eastAsia="仿宋" w:cs="仿宋"/>
          <w:sz w:val="30"/>
          <w:szCs w:val="30"/>
        </w:rPr>
      </w:pPr>
      <w:r>
        <w:rPr>
          <w:rFonts w:hint="eastAsia" w:ascii="仿宋" w:hAnsi="仿宋" w:eastAsia="仿宋" w:cs="仿宋"/>
          <w:sz w:val="30"/>
          <w:szCs w:val="30"/>
        </w:rPr>
        <w:t>因执行本协议而发生纠纷的，可以由双方协商解决，协商不成，或者一方不愿意协商、调解的，争议将提交甲方所在地人民法院管辖解决。</w:t>
      </w:r>
    </w:p>
    <w:p>
      <w:pPr>
        <w:jc w:val="left"/>
        <w:rPr>
          <w:rFonts w:hint="eastAsia" w:ascii="仿宋" w:hAnsi="仿宋" w:eastAsia="仿宋" w:cs="仿宋"/>
          <w:sz w:val="30"/>
          <w:szCs w:val="30"/>
        </w:rPr>
      </w:pPr>
      <w:r>
        <w:rPr>
          <w:rFonts w:hint="eastAsia" w:ascii="仿宋" w:hAnsi="仿宋" w:eastAsia="仿宋" w:cs="仿宋"/>
          <w:sz w:val="30"/>
          <w:szCs w:val="30"/>
        </w:rPr>
        <w:t>第七条  双方确认</w:t>
      </w:r>
    </w:p>
    <w:p>
      <w:pPr>
        <w:jc w:val="left"/>
        <w:rPr>
          <w:rFonts w:hint="eastAsia" w:ascii="仿宋" w:hAnsi="仿宋" w:eastAsia="仿宋" w:cs="仿宋"/>
          <w:sz w:val="30"/>
          <w:szCs w:val="30"/>
        </w:rPr>
      </w:pPr>
      <w:r>
        <w:rPr>
          <w:rFonts w:hint="eastAsia" w:ascii="仿宋" w:hAnsi="仿宋" w:eastAsia="仿宋" w:cs="仿宋"/>
          <w:sz w:val="30"/>
          <w:szCs w:val="30"/>
        </w:rPr>
        <w:t>在签署本协议前，双方已经详细审阅了协议的内容，并完全了解协议各条款的法律含义。</w:t>
      </w:r>
    </w:p>
    <w:p>
      <w:pPr>
        <w:jc w:val="left"/>
        <w:rPr>
          <w:rFonts w:hint="eastAsia" w:ascii="仿宋" w:hAnsi="仿宋" w:eastAsia="仿宋" w:cs="仿宋"/>
          <w:sz w:val="30"/>
          <w:szCs w:val="30"/>
        </w:rPr>
      </w:pPr>
      <w:r>
        <w:rPr>
          <w:rFonts w:hint="eastAsia" w:ascii="仿宋" w:hAnsi="仿宋" w:eastAsia="仿宋" w:cs="仿宋"/>
          <w:sz w:val="30"/>
          <w:szCs w:val="30"/>
        </w:rPr>
        <w:t>第八条 协议的效力和变更</w:t>
      </w:r>
    </w:p>
    <w:p>
      <w:pPr>
        <w:jc w:val="left"/>
        <w:rPr>
          <w:rFonts w:hint="eastAsia" w:ascii="仿宋" w:hAnsi="仿宋" w:eastAsia="仿宋" w:cs="仿宋"/>
          <w:sz w:val="30"/>
          <w:szCs w:val="30"/>
        </w:rPr>
      </w:pPr>
      <w:r>
        <w:rPr>
          <w:rFonts w:hint="eastAsia" w:ascii="仿宋" w:hAnsi="仿宋" w:eastAsia="仿宋" w:cs="仿宋"/>
          <w:sz w:val="30"/>
          <w:szCs w:val="30"/>
        </w:rPr>
        <w:t>本协议一式两份，自双方签名或并盖章后生效。</w:t>
      </w:r>
    </w:p>
    <w:p>
      <w:pPr>
        <w:jc w:val="left"/>
        <w:rPr>
          <w:rFonts w:hint="eastAsia" w:ascii="仿宋" w:hAnsi="仿宋" w:eastAsia="仿宋" w:cs="仿宋"/>
          <w:sz w:val="30"/>
          <w:szCs w:val="30"/>
        </w:rPr>
      </w:pPr>
    </w:p>
    <w:p>
      <w:pPr>
        <w:jc w:val="left"/>
        <w:rPr>
          <w:rFonts w:hint="eastAsia" w:ascii="仿宋" w:hAnsi="仿宋" w:eastAsia="仿宋" w:cs="仿宋"/>
          <w:sz w:val="30"/>
          <w:szCs w:val="30"/>
        </w:rPr>
      </w:pPr>
    </w:p>
    <w:p>
      <w:pPr>
        <w:jc w:val="left"/>
        <w:rPr>
          <w:rFonts w:hint="eastAsia" w:ascii="仿宋" w:hAnsi="仿宋" w:eastAsia="仿宋" w:cs="仿宋"/>
          <w:sz w:val="30"/>
          <w:szCs w:val="30"/>
        </w:rPr>
      </w:pPr>
      <w:r>
        <w:rPr>
          <w:rFonts w:hint="eastAsia" w:ascii="仿宋" w:hAnsi="仿宋" w:eastAsia="仿宋" w:cs="仿宋"/>
          <w:sz w:val="30"/>
          <w:szCs w:val="30"/>
        </w:rPr>
        <w:t xml:space="preserve">甲方： </w:t>
      </w:r>
    </w:p>
    <w:p>
      <w:pPr>
        <w:jc w:val="left"/>
        <w:rPr>
          <w:rFonts w:hint="eastAsia" w:ascii="仿宋" w:hAnsi="仿宋" w:eastAsia="仿宋" w:cs="仿宋"/>
          <w:sz w:val="30"/>
          <w:szCs w:val="30"/>
        </w:rPr>
      </w:pPr>
      <w:r>
        <w:rPr>
          <w:rFonts w:hint="eastAsia" w:ascii="仿宋" w:hAnsi="仿宋" w:eastAsia="仿宋" w:cs="仿宋"/>
          <w:sz w:val="30"/>
          <w:szCs w:val="30"/>
        </w:rPr>
        <w:t xml:space="preserve">年    月    日 </w:t>
      </w:r>
    </w:p>
    <w:p>
      <w:pPr>
        <w:jc w:val="left"/>
        <w:rPr>
          <w:rFonts w:hint="eastAsia" w:ascii="仿宋" w:hAnsi="仿宋" w:eastAsia="仿宋" w:cs="仿宋"/>
          <w:sz w:val="30"/>
          <w:szCs w:val="30"/>
        </w:rPr>
      </w:pPr>
      <w:r>
        <w:rPr>
          <w:rFonts w:hint="eastAsia" w:ascii="仿宋" w:hAnsi="仿宋" w:eastAsia="仿宋" w:cs="仿宋"/>
          <w:sz w:val="30"/>
          <w:szCs w:val="30"/>
        </w:rPr>
        <w:t xml:space="preserve">乙方： </w:t>
      </w:r>
    </w:p>
    <w:p>
      <w:pPr>
        <w:jc w:val="left"/>
        <w:rPr>
          <w:rFonts w:hint="eastAsia" w:ascii="仿宋" w:hAnsi="仿宋" w:eastAsia="仿宋" w:cs="仿宋"/>
          <w:sz w:val="30"/>
          <w:szCs w:val="30"/>
        </w:rPr>
      </w:pPr>
      <w:r>
        <w:rPr>
          <w:rFonts w:hint="eastAsia" w:ascii="仿宋" w:hAnsi="仿宋" w:eastAsia="仿宋" w:cs="仿宋"/>
          <w:sz w:val="30"/>
          <w:szCs w:val="30"/>
        </w:rPr>
        <w:t>年     月    日</w:t>
      </w:r>
    </w:p>
    <w:p>
      <w:pPr>
        <w:rPr>
          <w:rFonts w:hint="eastAsia" w:ascii="仿宋" w:hAnsi="仿宋" w:eastAsia="仿宋" w:cs="仿宋"/>
          <w:kern w:val="0"/>
          <w:sz w:val="30"/>
          <w:szCs w:val="30"/>
        </w:rPr>
      </w:pPr>
      <w:r>
        <w:rPr>
          <w:rFonts w:ascii="仿宋" w:hAnsi="仿宋" w:eastAsia="仿宋" w:cs="仿宋"/>
          <w:kern w:val="0"/>
          <w:sz w:val="30"/>
          <w:szCs w:val="30"/>
        </w:rPr>
        <w:br w:type="page"/>
      </w:r>
    </w:p>
    <w:p>
      <w:pPr>
        <w:jc w:val="left"/>
        <w:rPr>
          <w:rFonts w:hint="eastAsia" w:ascii="仿宋" w:hAnsi="仿宋" w:eastAsia="仿宋" w:cs="仿宋"/>
          <w:b/>
          <w:sz w:val="30"/>
          <w:szCs w:val="30"/>
        </w:rPr>
      </w:pPr>
      <w:r>
        <w:rPr>
          <w:rFonts w:hint="eastAsia" w:ascii="仿宋" w:hAnsi="仿宋" w:eastAsia="仿宋" w:cs="仿宋"/>
          <w:b/>
          <w:sz w:val="30"/>
          <w:szCs w:val="30"/>
        </w:rPr>
        <w:t>附件四</w:t>
      </w:r>
    </w:p>
    <w:p>
      <w:pPr>
        <w:jc w:val="center"/>
        <w:rPr>
          <w:rFonts w:hint="eastAsia" w:ascii="宋体" w:hAnsi="宋体"/>
          <w:b/>
          <w:sz w:val="24"/>
        </w:rPr>
      </w:pPr>
      <w:r>
        <w:rPr>
          <w:rFonts w:hint="eastAsia" w:ascii="宋体" w:hAnsi="宋体"/>
          <w:b/>
          <w:sz w:val="24"/>
        </w:rPr>
        <w:t>履约保函模板</w:t>
      </w:r>
    </w:p>
    <w:p>
      <w:pPr>
        <w:jc w:val="left"/>
        <w:rPr>
          <w:rFonts w:hint="eastAsia" w:ascii="宋体" w:hAnsi="宋体"/>
          <w:sz w:val="24"/>
        </w:rPr>
      </w:pPr>
      <w:r>
        <w:rPr>
          <w:rFonts w:hint="eastAsia" w:ascii="宋体" w:hAnsi="宋体"/>
          <w:sz w:val="24"/>
        </w:rPr>
        <w:t>致：</w:t>
      </w:r>
      <w:r>
        <w:rPr>
          <w:rFonts w:hint="eastAsia" w:ascii="宋体" w:hAnsi="宋体"/>
          <w:sz w:val="24"/>
          <w:u w:val="single"/>
        </w:rPr>
        <w:t xml:space="preserve">               （受益人）</w:t>
      </w:r>
      <w:r>
        <w:rPr>
          <w:rFonts w:ascii="宋体" w:hAnsi="宋体"/>
          <w:sz w:val="24"/>
        </w:rPr>
        <w:br w:type="textWrapping"/>
      </w:r>
    </w:p>
    <w:p>
      <w:pPr>
        <w:jc w:val="left"/>
        <w:rPr>
          <w:rFonts w:hint="eastAsia" w:ascii="宋体" w:hAnsi="宋体"/>
          <w:sz w:val="24"/>
        </w:rPr>
      </w:pPr>
      <w:r>
        <w:rPr>
          <w:rFonts w:hint="eastAsia" w:ascii="宋体" w:hAnsi="宋体"/>
          <w:sz w:val="24"/>
        </w:rPr>
        <w:t>鉴于</w:t>
      </w:r>
      <w:r>
        <w:rPr>
          <w:rFonts w:hint="eastAsia" w:ascii="宋体" w:hAnsi="宋体"/>
          <w:sz w:val="24"/>
          <w:u w:val="single"/>
        </w:rPr>
        <w:t xml:space="preserve">           </w:t>
      </w:r>
      <w:r>
        <w:rPr>
          <w:rFonts w:hint="eastAsia" w:ascii="宋体" w:hAnsi="宋体"/>
          <w:sz w:val="24"/>
        </w:rPr>
        <w:t>（以下简称“委托人”）与贵方于</w:t>
      </w:r>
      <w:r>
        <w:rPr>
          <w:rFonts w:hint="eastAsia" w:ascii="宋体" w:hAnsi="宋体"/>
          <w:sz w:val="24"/>
          <w:u w:val="single"/>
        </w:rPr>
        <w:t xml:space="preserve">   年  月  日</w:t>
      </w:r>
      <w:r>
        <w:rPr>
          <w:rFonts w:hint="eastAsia" w:ascii="宋体" w:hAnsi="宋体"/>
          <w:sz w:val="24"/>
        </w:rPr>
        <w:t>签订了</w:t>
      </w:r>
      <w:r>
        <w:rPr>
          <w:rFonts w:hint="eastAsia" w:ascii="宋体" w:hAnsi="宋体"/>
          <w:sz w:val="24"/>
          <w:u w:val="single"/>
        </w:rPr>
        <w:t xml:space="preserve">                     </w:t>
      </w:r>
      <w:r>
        <w:rPr>
          <w:rFonts w:hint="eastAsia" w:ascii="宋体" w:hAnsi="宋体"/>
          <w:sz w:val="24"/>
        </w:rPr>
        <w:t>（以下简称“合同”），我行同意为委托人出具履约保函，作为委托人履行合同义务的担保，以使你方得到履约保函的保障。本保函为不可撤销，见索即付的独立保函。</w:t>
      </w:r>
    </w:p>
    <w:p>
      <w:pPr>
        <w:jc w:val="left"/>
        <w:rPr>
          <w:rFonts w:hint="eastAsia" w:ascii="宋体" w:hAnsi="宋体"/>
          <w:sz w:val="24"/>
        </w:rPr>
      </w:pPr>
      <w:r>
        <w:rPr>
          <w:rFonts w:hint="eastAsia" w:ascii="宋体" w:hAnsi="宋体"/>
          <w:sz w:val="24"/>
        </w:rPr>
        <w:t>一、我行保证在收到贵单位于保函有效期内送达的依本保函约定的索赔申请后，在个</w:t>
      </w:r>
      <w:r>
        <w:rPr>
          <w:rFonts w:hint="eastAsia" w:ascii="宋体" w:hAnsi="宋体"/>
          <w:sz w:val="24"/>
          <w:u w:val="single"/>
        </w:rPr>
        <w:t xml:space="preserve">  </w:t>
      </w:r>
      <w:r>
        <w:rPr>
          <w:rFonts w:hint="eastAsia" w:ascii="宋体" w:hAnsi="宋体"/>
          <w:sz w:val="24"/>
        </w:rPr>
        <w:t>工作日内无条件和不可改变地向贵单位支付最高金额不超过人民币元</w:t>
      </w:r>
      <w:r>
        <w:rPr>
          <w:rFonts w:hint="eastAsia" w:ascii="宋体" w:hAnsi="宋体"/>
          <w:sz w:val="24"/>
          <w:u w:val="single"/>
        </w:rPr>
        <w:t xml:space="preserve">         </w:t>
      </w:r>
      <w:r>
        <w:rPr>
          <w:rFonts w:hint="eastAsia" w:ascii="宋体" w:hAnsi="宋体"/>
          <w:sz w:val="24"/>
        </w:rPr>
        <w:t>（大写：</w:t>
      </w:r>
      <w:r>
        <w:rPr>
          <w:rFonts w:hint="eastAsia" w:ascii="宋体" w:hAnsi="宋体"/>
          <w:sz w:val="24"/>
          <w:u w:val="single"/>
        </w:rPr>
        <w:t xml:space="preserve">            </w:t>
      </w:r>
      <w:r>
        <w:rPr>
          <w:rFonts w:hint="eastAsia" w:ascii="宋体" w:hAnsi="宋体"/>
          <w:sz w:val="24"/>
        </w:rPr>
        <w:t xml:space="preserve"> ）的履约保证金，并放弃向你方提出任何异议和追索的权利。</w:t>
      </w:r>
    </w:p>
    <w:p>
      <w:pPr>
        <w:jc w:val="left"/>
        <w:rPr>
          <w:rFonts w:hint="eastAsia" w:ascii="宋体" w:hAnsi="宋体"/>
          <w:sz w:val="24"/>
        </w:rPr>
      </w:pPr>
      <w:r>
        <w:rPr>
          <w:rFonts w:hint="eastAsia" w:ascii="宋体" w:hAnsi="宋体"/>
          <w:sz w:val="24"/>
        </w:rPr>
        <w:t>二、贵单位的索赔申请应符合下述条件：</w:t>
      </w:r>
    </w:p>
    <w:p>
      <w:pPr>
        <w:jc w:val="left"/>
        <w:rPr>
          <w:rFonts w:hint="eastAsia" w:ascii="宋体" w:hAnsi="宋体"/>
          <w:sz w:val="24"/>
        </w:rPr>
      </w:pPr>
      <w:r>
        <w:rPr>
          <w:rFonts w:hint="eastAsia" w:ascii="宋体" w:hAnsi="宋体"/>
          <w:sz w:val="24"/>
        </w:rPr>
        <w:t>（一）贵单位法定代表人或其授权代表签字并加盖单位公章；</w:t>
      </w:r>
    </w:p>
    <w:p>
      <w:pPr>
        <w:jc w:val="left"/>
        <w:rPr>
          <w:rFonts w:hint="eastAsia" w:ascii="宋体" w:hAnsi="宋体"/>
          <w:sz w:val="24"/>
        </w:rPr>
      </w:pPr>
      <w:r>
        <w:rPr>
          <w:rFonts w:hint="eastAsia" w:ascii="宋体" w:hAnsi="宋体"/>
          <w:sz w:val="24"/>
        </w:rPr>
        <w:t>（二）在保函有效期内送达我行；</w:t>
      </w:r>
    </w:p>
    <w:p>
      <w:pPr>
        <w:jc w:val="left"/>
        <w:rPr>
          <w:rFonts w:hint="eastAsia" w:ascii="宋体" w:hAnsi="宋体"/>
          <w:sz w:val="24"/>
        </w:rPr>
      </w:pPr>
      <w:r>
        <w:rPr>
          <w:rFonts w:hint="eastAsia" w:ascii="宋体" w:hAnsi="宋体"/>
          <w:sz w:val="24"/>
        </w:rPr>
        <w:t>（三）明确的索赔金额（不得超过本保函第一条所列之限额）。</w:t>
      </w:r>
    </w:p>
    <w:p>
      <w:pPr>
        <w:jc w:val="left"/>
        <w:rPr>
          <w:rFonts w:hint="eastAsia" w:ascii="宋体" w:hAnsi="宋体"/>
          <w:sz w:val="24"/>
        </w:rPr>
      </w:pPr>
      <w:r>
        <w:rPr>
          <w:rFonts w:hint="eastAsia" w:ascii="宋体" w:hAnsi="宋体"/>
          <w:sz w:val="24"/>
        </w:rPr>
        <w:t>三、本保函自签发之日起生效，有效期至</w:t>
      </w:r>
      <w:r>
        <w:rPr>
          <w:rFonts w:hint="eastAsia" w:ascii="宋体" w:hAnsi="宋体"/>
          <w:sz w:val="24"/>
          <w:u w:val="single"/>
        </w:rPr>
        <w:t xml:space="preserve">  年  月  日</w:t>
      </w:r>
      <w:r>
        <w:rPr>
          <w:rFonts w:hint="eastAsia" w:ascii="宋体" w:hAnsi="宋体"/>
          <w:sz w:val="24"/>
        </w:rPr>
        <w:t>。本保函于下述任一事项发生之时立即失效，我行在本保函项下的保证义务即刻解除：</w:t>
      </w:r>
    </w:p>
    <w:p>
      <w:pPr>
        <w:jc w:val="left"/>
        <w:rPr>
          <w:rFonts w:hint="eastAsia" w:ascii="宋体" w:hAnsi="宋体"/>
          <w:sz w:val="24"/>
        </w:rPr>
      </w:pPr>
      <w:r>
        <w:rPr>
          <w:rFonts w:hint="eastAsia" w:ascii="宋体" w:hAnsi="宋体"/>
          <w:sz w:val="24"/>
        </w:rPr>
        <w:t>（一）本保函有效期限届满；</w:t>
      </w:r>
    </w:p>
    <w:p>
      <w:pPr>
        <w:jc w:val="left"/>
        <w:rPr>
          <w:rFonts w:hint="eastAsia" w:ascii="宋体" w:hAnsi="宋体"/>
          <w:sz w:val="24"/>
        </w:rPr>
      </w:pPr>
      <w:r>
        <w:rPr>
          <w:rFonts w:hint="eastAsia" w:ascii="宋体" w:hAnsi="宋体"/>
          <w:sz w:val="24"/>
        </w:rPr>
        <w:t>（二）我行保证的义务履行完毕。</w:t>
      </w:r>
    </w:p>
    <w:p>
      <w:pPr>
        <w:jc w:val="left"/>
        <w:rPr>
          <w:rFonts w:hint="eastAsia" w:ascii="宋体" w:hAnsi="宋体"/>
          <w:sz w:val="24"/>
        </w:rPr>
      </w:pPr>
      <w:r>
        <w:rPr>
          <w:rFonts w:hint="eastAsia" w:ascii="宋体" w:hAnsi="宋体"/>
          <w:sz w:val="24"/>
        </w:rPr>
        <w:t>四、我方受本保函制约的责任是延续的、独立的和无条件的，上述合同的任何修改、变更、解释、不可执行或委托人在合同项下对你方的任何抗辩都不能削弱或影响我行按本保函应承担的责任。</w:t>
      </w:r>
    </w:p>
    <w:p>
      <w:pPr>
        <w:jc w:val="left"/>
        <w:rPr>
          <w:rFonts w:hint="eastAsia" w:ascii="宋体" w:hAnsi="宋体"/>
          <w:sz w:val="24"/>
        </w:rPr>
      </w:pPr>
      <w:r>
        <w:rPr>
          <w:rFonts w:hint="eastAsia" w:ascii="宋体" w:hAnsi="宋体"/>
          <w:sz w:val="24"/>
        </w:rPr>
        <w:t>五、我行向你方支付索赔金额后，本保函担保金额即按贵方通知的索赔金额予以递减。</w:t>
      </w:r>
    </w:p>
    <w:p>
      <w:pPr>
        <w:jc w:val="left"/>
        <w:rPr>
          <w:rFonts w:hint="eastAsia" w:ascii="宋体" w:hAnsi="宋体"/>
          <w:sz w:val="24"/>
        </w:rPr>
      </w:pPr>
      <w:r>
        <w:rPr>
          <w:rFonts w:hint="eastAsia" w:ascii="宋体" w:hAnsi="宋体"/>
          <w:sz w:val="24"/>
        </w:rPr>
        <w:t>六、保函失效后请将保函退回我行注销，无论正本最终退回与否，不影响本保函依上述约定自动失效。</w:t>
      </w:r>
    </w:p>
    <w:p>
      <w:pPr>
        <w:jc w:val="left"/>
        <w:rPr>
          <w:rFonts w:hint="eastAsia" w:ascii="宋体" w:hAnsi="宋体"/>
          <w:sz w:val="24"/>
        </w:rPr>
      </w:pPr>
    </w:p>
    <w:p>
      <w:pPr>
        <w:jc w:val="left"/>
        <w:rPr>
          <w:rFonts w:hint="eastAsia" w:ascii="宋体" w:hAnsi="宋体"/>
          <w:sz w:val="24"/>
        </w:rPr>
      </w:pPr>
      <w:r>
        <w:rPr>
          <w:rFonts w:hint="eastAsia" w:ascii="宋体" w:hAnsi="宋体"/>
          <w:sz w:val="24"/>
        </w:rPr>
        <w:t xml:space="preserve">                                                    落款</w:t>
      </w:r>
    </w:p>
    <w:p>
      <w:pPr>
        <w:jc w:val="left"/>
        <w:rPr>
          <w:rFonts w:hint="eastAsia" w:ascii="宋体" w:hAnsi="宋体"/>
          <w:sz w:val="24"/>
        </w:rPr>
      </w:pPr>
      <w:r>
        <w:rPr>
          <w:rFonts w:hint="eastAsia" w:ascii="宋体" w:hAnsi="宋体"/>
          <w:sz w:val="24"/>
        </w:rPr>
        <w:t>保函说明：</w:t>
      </w:r>
    </w:p>
    <w:p>
      <w:pPr>
        <w:jc w:val="left"/>
        <w:rPr>
          <w:rFonts w:hint="eastAsia" w:ascii="宋体" w:hAnsi="宋体" w:cs="仿宋_GB2312"/>
          <w:sz w:val="24"/>
        </w:rPr>
      </w:pPr>
      <w:r>
        <w:rPr>
          <w:rFonts w:hint="eastAsia" w:ascii="宋体" w:hAnsi="宋体" w:cs="仿宋_GB2312"/>
          <w:sz w:val="24"/>
        </w:rPr>
        <w:t>保函不得有下列或类似含义的表述：</w:t>
      </w:r>
    </w:p>
    <w:p>
      <w:pPr>
        <w:jc w:val="left"/>
        <w:rPr>
          <w:rFonts w:hint="eastAsia" w:ascii="宋体" w:hAnsi="宋体" w:cs="仿宋_GB2312"/>
          <w:sz w:val="24"/>
        </w:rPr>
      </w:pPr>
      <w:r>
        <w:rPr>
          <w:rFonts w:hint="eastAsia" w:ascii="宋体" w:hAnsi="宋体" w:cs="仿宋_GB2312"/>
          <w:sz w:val="24"/>
        </w:rPr>
        <w:t>1.银行承担的为连带责任保证、一般保证。</w:t>
      </w:r>
    </w:p>
    <w:p>
      <w:pPr>
        <w:jc w:val="left"/>
        <w:rPr>
          <w:rFonts w:hint="eastAsia" w:ascii="宋体" w:hAnsi="宋体" w:cs="仿宋_GB2312"/>
          <w:sz w:val="24"/>
        </w:rPr>
      </w:pPr>
      <w:r>
        <w:rPr>
          <w:rFonts w:hint="eastAsia" w:ascii="宋体" w:hAnsi="宋体" w:cs="仿宋_GB2312"/>
          <w:sz w:val="24"/>
        </w:rPr>
        <w:t>2.未经银行书面同意，受益人与申请人修改合同或其项下附件时，银行的保证义务解除。</w:t>
      </w:r>
    </w:p>
    <w:p>
      <w:pPr>
        <w:jc w:val="left"/>
        <w:rPr>
          <w:rFonts w:hint="eastAsia" w:ascii="宋体" w:hAnsi="宋体" w:cs="仿宋_GB2312"/>
          <w:sz w:val="24"/>
        </w:rPr>
      </w:pPr>
      <w:r>
        <w:rPr>
          <w:rFonts w:hint="eastAsia" w:ascii="宋体" w:hAnsi="宋体" w:cs="仿宋_GB2312"/>
          <w:sz w:val="24"/>
        </w:rPr>
        <w:t>3.合同撤销或无效的，保函失效。</w:t>
      </w:r>
    </w:p>
    <w:p>
      <w:pPr>
        <w:jc w:val="left"/>
        <w:rPr>
          <w:rFonts w:hint="eastAsia" w:ascii="宋体" w:hAnsi="宋体" w:cs="仿宋_GB2312"/>
          <w:sz w:val="24"/>
        </w:rPr>
      </w:pPr>
      <w:r>
        <w:rPr>
          <w:rFonts w:hint="eastAsia" w:ascii="宋体" w:hAnsi="宋体" w:cs="仿宋_GB2312"/>
          <w:sz w:val="24"/>
        </w:rPr>
        <w:t>4.申请人对受益人的抗辩，银行有权向受益人主张。</w:t>
      </w:r>
    </w:p>
    <w:p>
      <w:pPr>
        <w:jc w:val="left"/>
        <w:rPr>
          <w:rFonts w:hint="eastAsia" w:ascii="宋体" w:hAnsi="宋体"/>
          <w:sz w:val="24"/>
        </w:rPr>
      </w:pPr>
      <w:r>
        <w:rPr>
          <w:rFonts w:hint="eastAsia" w:ascii="宋体" w:hAnsi="宋体" w:cs="仿宋_GB2312"/>
          <w:sz w:val="24"/>
        </w:rPr>
        <w:t>5.受益人请求付款的请款单据包含法院裁判文书、仲裁裁决、第三方单位出具的鉴定书等申请人违约的证明材料。</w:t>
      </w:r>
    </w:p>
    <w:p>
      <w:pPr>
        <w:rPr>
          <w:rFonts w:hint="eastAsia" w:cs="仿宋_GB2312" w:asciiTheme="minorEastAsia" w:hAnsiTheme="minorEastAsia"/>
          <w:sz w:val="28"/>
          <w:szCs w:val="28"/>
        </w:rPr>
      </w:pPr>
      <w:r>
        <w:rPr>
          <w:rFonts w:cs="仿宋_GB2312" w:asciiTheme="minorEastAsia" w:hAnsiTheme="minorEastAsia"/>
          <w:sz w:val="28"/>
          <w:szCs w:val="28"/>
        </w:rPr>
        <w:br w:type="page"/>
      </w:r>
    </w:p>
    <w:p>
      <w:pPr>
        <w:rPr>
          <w:rFonts w:hint="eastAsia" w:ascii="黑体" w:hAnsi="黑体" w:eastAsia="黑体" w:cs="黑体"/>
          <w:sz w:val="32"/>
          <w:szCs w:val="32"/>
        </w:rPr>
      </w:pPr>
      <w:r>
        <w:rPr>
          <w:rFonts w:hint="eastAsia" w:ascii="黑体" w:hAnsi="黑体" w:eastAsia="黑体" w:cs="黑体"/>
          <w:sz w:val="32"/>
          <w:szCs w:val="32"/>
        </w:rPr>
        <w:t>附件五</w:t>
      </w:r>
    </w:p>
    <w:p>
      <w:pPr>
        <w:pStyle w:val="4"/>
        <w:ind w:firstLine="640"/>
        <w:rPr>
          <w:rFonts w:hint="eastAsia" w:ascii="黑体" w:hAnsi="黑体" w:eastAsia="黑体" w:cs="黑体"/>
          <w:sz w:val="32"/>
          <w:szCs w:val="32"/>
        </w:rPr>
      </w:pPr>
    </w:p>
    <w:p>
      <w:pPr>
        <w:pStyle w:val="4"/>
        <w:ind w:firstLine="640"/>
        <w:rPr>
          <w:rFonts w:hint="eastAsia" w:ascii="黑体" w:hAnsi="黑体" w:eastAsia="黑体" w:cs="黑体"/>
          <w:sz w:val="32"/>
          <w:szCs w:val="32"/>
        </w:rPr>
      </w:pPr>
    </w:p>
    <w:p>
      <w:pPr>
        <w:spacing w:line="360" w:lineRule="auto"/>
        <w:jc w:val="center"/>
        <w:rPr>
          <w:rFonts w:hint="eastAsia" w:ascii="方正小标宋简体" w:hAnsi="等线" w:eastAsia="方正小标宋简体" w:cs="Times New Roman"/>
          <w:spacing w:val="198"/>
          <w:sz w:val="72"/>
          <w:szCs w:val="22"/>
        </w:rPr>
      </w:pPr>
      <w:r>
        <w:rPr>
          <w:rFonts w:hint="eastAsia" w:ascii="方正小标宋简体" w:hAnsi="等线" w:eastAsia="方正小标宋简体" w:cs="Times New Roman"/>
          <w:spacing w:val="198"/>
          <w:sz w:val="72"/>
          <w:szCs w:val="22"/>
        </w:rPr>
        <w:t>污泥脱水-干化</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生</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产</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性</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试</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验</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方</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案</w:t>
      </w:r>
    </w:p>
    <w:p>
      <w:pPr>
        <w:spacing w:line="360" w:lineRule="auto"/>
        <w:jc w:val="center"/>
        <w:rPr>
          <w:rFonts w:hint="eastAsia" w:ascii="仿宋_GB2312" w:hAnsi="等线" w:eastAsia="仿宋_GB2312" w:cs="Times New Roman"/>
          <w:sz w:val="32"/>
          <w:szCs w:val="32"/>
        </w:rPr>
      </w:pPr>
      <w:r>
        <w:rPr>
          <w:rFonts w:hint="eastAsia" w:ascii="仿宋_GB2312" w:hAnsi="等线" w:eastAsia="仿宋_GB2312" w:cs="Times New Roman"/>
          <w:sz w:val="32"/>
          <w:szCs w:val="32"/>
        </w:rPr>
        <w:t>广州市净水有限公司</w:t>
      </w:r>
    </w:p>
    <w:p>
      <w:pPr>
        <w:widowControl/>
        <w:jc w:val="center"/>
        <w:rPr>
          <w:rFonts w:hint="eastAsia" w:ascii="仿宋_GB2312" w:hAnsi="等线" w:eastAsia="仿宋_GB2312" w:cs="Times New Roman"/>
          <w:sz w:val="32"/>
          <w:szCs w:val="32"/>
        </w:rPr>
      </w:pPr>
      <w:r>
        <w:rPr>
          <w:rFonts w:hint="eastAsia" w:ascii="仿宋_GB2312" w:hAnsi="等线" w:eastAsia="仿宋_GB2312" w:cs="Times New Roman"/>
          <w:sz w:val="32"/>
          <w:szCs w:val="32"/>
        </w:rPr>
        <w:t>2024年  月  日</w:t>
      </w:r>
      <w:r>
        <w:rPr>
          <w:rFonts w:hint="eastAsia" w:ascii="仿宋_GB2312" w:hAnsi="等线" w:eastAsia="仿宋_GB2312" w:cs="Times New Roman"/>
          <w:sz w:val="32"/>
          <w:szCs w:val="32"/>
        </w:rPr>
        <w:br w:type="page"/>
      </w:r>
    </w:p>
    <w:p>
      <w:pPr>
        <w:rPr>
          <w:rFonts w:hint="eastAsia" w:ascii="仿宋_GB2312" w:hAnsi="等线" w:eastAsia="仿宋_GB2312"/>
          <w:sz w:val="32"/>
          <w:szCs w:val="32"/>
        </w:rPr>
        <w:sectPr>
          <w:headerReference r:id="rId4" w:type="default"/>
          <w:footerReference r:id="rId5" w:type="default"/>
          <w:pgSz w:w="11906" w:h="16838"/>
          <w:pgMar w:top="1440" w:right="1800" w:bottom="1440" w:left="1800" w:header="851" w:footer="992" w:gutter="0"/>
          <w:pgNumType w:fmt="upperRoman"/>
          <w:cols w:space="425" w:num="1"/>
          <w:docGrid w:type="lines" w:linePitch="312" w:charSpace="0"/>
        </w:sectPr>
      </w:pPr>
      <w:r>
        <w:rPr>
          <w:rFonts w:ascii="仿宋_GB2312" w:hAnsi="等线" w:eastAsia="仿宋_GB2312" w:cs="Times New Roman"/>
          <w:sz w:val="32"/>
          <w:szCs w:val="32"/>
        </w:rPr>
        <w:br w:type="page"/>
      </w:r>
    </w:p>
    <w:p>
      <w:pPr>
        <w:widowControl/>
        <w:rPr>
          <w:rFonts w:hint="eastAsia" w:ascii="仿宋_GB2312" w:hAnsi="等线" w:eastAsia="仿宋_GB2312" w:cs="Times New Roman"/>
          <w:sz w:val="32"/>
          <w:szCs w:val="32"/>
        </w:rPr>
      </w:pPr>
    </w:p>
    <w:sdt>
      <w:sdtPr>
        <w:rPr>
          <w:rFonts w:hint="eastAsia" w:ascii="黑体" w:hAnsi="黑体" w:eastAsia="黑体" w:cs="Times New Roman"/>
          <w:sz w:val="40"/>
          <w:szCs w:val="22"/>
          <w:lang w:val="zh-CN"/>
        </w:rPr>
        <w:id w:val="-397125408"/>
      </w:sdtPr>
      <w:sdtEndPr>
        <w:rPr>
          <w:rFonts w:hint="eastAsia" w:ascii="黑体" w:hAnsi="黑体" w:eastAsia="黑体" w:cs="Times New Roman"/>
          <w:sz w:val="40"/>
          <w:szCs w:val="22"/>
          <w:lang w:val="zh-CN"/>
        </w:rPr>
      </w:sdtEndPr>
      <w:sdtContent>
        <w:p>
          <w:pPr>
            <w:jc w:val="center"/>
            <w:rPr>
              <w:rFonts w:hint="eastAsia" w:ascii="方正小标宋简体" w:hAnsi="方正小标宋简体" w:eastAsia="黑体" w:cs="方正小标宋简体"/>
              <w:b/>
              <w:bCs/>
              <w:sz w:val="32"/>
              <w:szCs w:val="32"/>
            </w:rPr>
          </w:pPr>
          <w:r>
            <w:rPr>
              <w:rFonts w:hint="eastAsia" w:ascii="方正小标宋简体" w:hAnsi="方正小标宋简体" w:eastAsia="方正小标宋简体" w:cs="方正小标宋简体"/>
              <w:sz w:val="32"/>
              <w:szCs w:val="32"/>
            </w:rPr>
            <w:t>目   录</w:t>
          </w:r>
        </w:p>
        <w:p>
          <w:pPr>
            <w:tabs>
              <w:tab w:val="right" w:leader="dot" w:pos="8306"/>
            </w:tabs>
            <w:spacing w:line="360" w:lineRule="auto"/>
            <w:rPr>
              <w:rFonts w:hint="eastAsia" w:ascii="等线" w:hAnsi="等线" w:eastAsia="仿宋_GB2312" w:cs="Times New Roman"/>
              <w:sz w:val="32"/>
              <w:szCs w:val="22"/>
            </w:rPr>
          </w:pPr>
          <w:r>
            <w:rPr>
              <w:rFonts w:hint="eastAsia" w:ascii="仿宋_GB2312" w:hAnsi="等线" w:eastAsia="仿宋_GB2312" w:cs="Times New Roman"/>
              <w:sz w:val="32"/>
              <w:szCs w:val="22"/>
            </w:rPr>
            <w:fldChar w:fldCharType="begin"/>
          </w:r>
          <w:r>
            <w:rPr>
              <w:rFonts w:hint="eastAsia" w:ascii="仿宋_GB2312" w:hAnsi="等线" w:eastAsia="仿宋_GB2312" w:cs="Times New Roman"/>
              <w:sz w:val="32"/>
              <w:szCs w:val="22"/>
            </w:rPr>
            <w:instrText xml:space="preserve"> TOC \o "1-3" \h \z \u </w:instrText>
          </w:r>
          <w:r>
            <w:rPr>
              <w:rFonts w:hint="eastAsia" w:ascii="仿宋_GB2312" w:hAnsi="等线" w:eastAsia="仿宋_GB2312" w:cs="Times New Roman"/>
              <w:sz w:val="32"/>
              <w:szCs w:val="22"/>
            </w:rPr>
            <w:fldChar w:fldCharType="separate"/>
          </w:r>
          <w:r>
            <w:fldChar w:fldCharType="begin"/>
          </w:r>
          <w:r>
            <w:instrText xml:space="preserve"> HYPERLINK \l "_Toc5623" </w:instrText>
          </w:r>
          <w:r>
            <w:fldChar w:fldCharType="separate"/>
          </w:r>
          <w:r>
            <w:rPr>
              <w:rFonts w:hint="eastAsia" w:ascii="等线" w:hAnsi="等线" w:eastAsia="仿宋_GB2312" w:cs="Times New Roman"/>
              <w:sz w:val="32"/>
              <w:szCs w:val="22"/>
            </w:rPr>
            <w:t>一、试验总体情况介绍</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_Toc5623 \h </w:instrText>
          </w:r>
          <w:r>
            <w:rPr>
              <w:rFonts w:ascii="等线" w:hAnsi="等线" w:eastAsia="仿宋_GB2312" w:cs="Times New Roman"/>
              <w:sz w:val="32"/>
              <w:szCs w:val="22"/>
            </w:rPr>
            <w:fldChar w:fldCharType="separate"/>
          </w:r>
          <w:r>
            <w:rPr>
              <w:rFonts w:ascii="等线" w:hAnsi="等线" w:eastAsia="仿宋_GB2312" w:cs="Times New Roman"/>
              <w:sz w:val="32"/>
              <w:szCs w:val="22"/>
            </w:rPr>
            <w:t>1</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"_Toc1179"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.1</w:t>
          </w:r>
          <w:r>
            <w:rPr>
              <w:rFonts w:hint="eastAsia" w:ascii="等线" w:hAnsi="等线" w:eastAsia="仿宋_GB2312" w:cs="Times New Roman"/>
              <w:sz w:val="32"/>
              <w:szCs w:val="22"/>
            </w:rPr>
            <w:t>试验背景及目的</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_Toc1179 \h </w:instrText>
          </w:r>
          <w:r>
            <w:rPr>
              <w:rFonts w:ascii="等线" w:hAnsi="等线" w:eastAsia="仿宋_GB2312" w:cs="Times New Roman"/>
              <w:sz w:val="32"/>
              <w:szCs w:val="22"/>
            </w:rPr>
            <w:fldChar w:fldCharType="separate"/>
          </w:r>
          <w:r>
            <w:rPr>
              <w:rFonts w:ascii="等线" w:hAnsi="等线" w:eastAsia="仿宋_GB2312" w:cs="Times New Roman"/>
              <w:sz w:val="32"/>
              <w:szCs w:val="22"/>
            </w:rPr>
            <w:t>1</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"_Toc15675" </w:instrText>
          </w:r>
          <w:r>
            <w:fldChar w:fldCharType="separate"/>
          </w:r>
          <w:r>
            <w:rPr>
              <w:rFonts w:ascii="等线" w:hAnsi="等线" w:eastAsia="仿宋_GB2312" w:cs="Times New Roman"/>
              <w:sz w:val="32"/>
              <w:szCs w:val="22"/>
            </w:rPr>
            <w:t>1.2</w:t>
          </w:r>
          <w:r>
            <w:rPr>
              <w:rFonts w:hint="eastAsia" w:ascii="等线" w:hAnsi="等线" w:eastAsia="仿宋_GB2312" w:cs="Times New Roman"/>
              <w:sz w:val="32"/>
              <w:szCs w:val="22"/>
            </w:rPr>
            <w:t>工作分工</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_Toc15675 \h </w:instrText>
          </w:r>
          <w:r>
            <w:rPr>
              <w:rFonts w:ascii="等线" w:hAnsi="等线" w:eastAsia="仿宋_GB2312" w:cs="Times New Roman"/>
              <w:sz w:val="32"/>
              <w:szCs w:val="22"/>
            </w:rPr>
            <w:fldChar w:fldCharType="separate"/>
          </w:r>
          <w:r>
            <w:rPr>
              <w:rFonts w:ascii="等线" w:hAnsi="等线" w:eastAsia="仿宋_GB2312" w:cs="Times New Roman"/>
              <w:sz w:val="32"/>
              <w:szCs w:val="22"/>
            </w:rPr>
            <w:t>1</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"_Toc29154"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.2.1</w:t>
          </w:r>
          <w:r>
            <w:rPr>
              <w:rFonts w:hint="eastAsia" w:ascii="等线" w:hAnsi="等线" w:eastAsia="仿宋_GB2312" w:cs="Times New Roman"/>
              <w:sz w:val="32"/>
              <w:szCs w:val="22"/>
            </w:rPr>
            <w:t>广州净水公司</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_Toc29154 \h </w:instrText>
          </w:r>
          <w:r>
            <w:rPr>
              <w:rFonts w:ascii="等线" w:hAnsi="等线" w:eastAsia="仿宋_GB2312" w:cs="Times New Roman"/>
              <w:sz w:val="32"/>
              <w:szCs w:val="22"/>
            </w:rPr>
            <w:fldChar w:fldCharType="separate"/>
          </w:r>
          <w:r>
            <w:rPr>
              <w:rFonts w:ascii="等线" w:hAnsi="等线" w:eastAsia="仿宋_GB2312" w:cs="Times New Roman"/>
              <w:sz w:val="32"/>
              <w:szCs w:val="22"/>
            </w:rPr>
            <w:t>1</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"_Toc13253"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.2.2</w:t>
          </w:r>
          <w:r>
            <w:rPr>
              <w:rFonts w:hint="eastAsia" w:ascii="等线" w:hAnsi="等线" w:eastAsia="仿宋_GB2312" w:cs="Times New Roman"/>
              <w:sz w:val="32"/>
              <w:szCs w:val="22"/>
            </w:rPr>
            <w:t>申请人</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_Toc13253 \h </w:instrText>
          </w:r>
          <w:r>
            <w:rPr>
              <w:rFonts w:ascii="等线" w:hAnsi="等线" w:eastAsia="仿宋_GB2312" w:cs="Times New Roman"/>
              <w:sz w:val="32"/>
              <w:szCs w:val="22"/>
            </w:rPr>
            <w:fldChar w:fldCharType="separate"/>
          </w:r>
          <w:r>
            <w:rPr>
              <w:rFonts w:ascii="等线" w:hAnsi="等线" w:eastAsia="仿宋_GB2312" w:cs="Times New Roman"/>
              <w:sz w:val="32"/>
              <w:szCs w:val="22"/>
            </w:rPr>
            <w:t>2</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"_Toc7237" </w:instrText>
          </w:r>
          <w:r>
            <w:fldChar w:fldCharType="separate"/>
          </w:r>
          <w:r>
            <w:rPr>
              <w:rFonts w:ascii="等线" w:hAnsi="等线" w:eastAsia="仿宋_GB2312" w:cs="Times New Roman"/>
              <w:sz w:val="32"/>
              <w:szCs w:val="22"/>
            </w:rPr>
            <w:t>1.3</w:t>
          </w:r>
          <w:r>
            <w:rPr>
              <w:rFonts w:hint="eastAsia" w:ascii="等线" w:hAnsi="等线" w:eastAsia="仿宋_GB2312" w:cs="Times New Roman"/>
              <w:sz w:val="32"/>
              <w:szCs w:val="22"/>
            </w:rPr>
            <w:t>试验地点</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_Toc7237 \h </w:instrText>
          </w:r>
          <w:r>
            <w:rPr>
              <w:rFonts w:ascii="等线" w:hAnsi="等线" w:eastAsia="仿宋_GB2312" w:cs="Times New Roman"/>
              <w:sz w:val="32"/>
              <w:szCs w:val="22"/>
            </w:rPr>
            <w:fldChar w:fldCharType="separate"/>
          </w:r>
          <w:r>
            <w:rPr>
              <w:rFonts w:ascii="等线" w:hAnsi="等线" w:eastAsia="仿宋_GB2312" w:cs="Times New Roman"/>
              <w:sz w:val="32"/>
              <w:szCs w:val="22"/>
            </w:rPr>
            <w:t>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"_Toc12091" </w:instrText>
          </w:r>
          <w:r>
            <w:fldChar w:fldCharType="separate"/>
          </w:r>
          <w:r>
            <w:rPr>
              <w:rFonts w:ascii="等线" w:hAnsi="等线" w:eastAsia="仿宋_GB2312" w:cs="Times New Roman"/>
              <w:sz w:val="32"/>
              <w:szCs w:val="22"/>
            </w:rPr>
            <w:t>1.4</w:t>
          </w:r>
          <w:r>
            <w:rPr>
              <w:rFonts w:hint="eastAsia" w:ascii="等线" w:hAnsi="等线" w:eastAsia="仿宋_GB2312" w:cs="Times New Roman"/>
              <w:sz w:val="32"/>
              <w:szCs w:val="22"/>
            </w:rPr>
            <w:t>试验工艺流程</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_Toc12091 \h </w:instrText>
          </w:r>
          <w:r>
            <w:rPr>
              <w:rFonts w:ascii="等线" w:hAnsi="等线" w:eastAsia="仿宋_GB2312" w:cs="Times New Roman"/>
              <w:sz w:val="32"/>
              <w:szCs w:val="22"/>
            </w:rPr>
            <w:fldChar w:fldCharType="separate"/>
          </w:r>
          <w:r>
            <w:rPr>
              <w:rFonts w:ascii="等线" w:hAnsi="等线" w:eastAsia="仿宋_GB2312" w:cs="Times New Roman"/>
              <w:sz w:val="32"/>
              <w:szCs w:val="22"/>
            </w:rPr>
            <w:t>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"_Toc19497"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.5</w:t>
          </w:r>
          <w:r>
            <w:rPr>
              <w:rFonts w:hint="eastAsia" w:ascii="等线" w:hAnsi="等线" w:eastAsia="仿宋_GB2312" w:cs="Times New Roman"/>
              <w:sz w:val="32"/>
              <w:szCs w:val="22"/>
            </w:rPr>
            <w:t>污泥深度浓缩系统的主要设备及主要指标</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_Toc19497 \h </w:instrText>
          </w:r>
          <w:r>
            <w:rPr>
              <w:rFonts w:ascii="等线" w:hAnsi="等线" w:eastAsia="仿宋_GB2312" w:cs="Times New Roman"/>
              <w:sz w:val="32"/>
              <w:szCs w:val="22"/>
            </w:rPr>
            <w:fldChar w:fldCharType="separate"/>
          </w:r>
          <w:r>
            <w:rPr>
              <w:rFonts w:ascii="等线" w:hAnsi="等线" w:eastAsia="仿宋_GB2312" w:cs="Times New Roman"/>
              <w:sz w:val="32"/>
              <w:szCs w:val="22"/>
            </w:rPr>
            <w:t>4</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"_Toc604"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w:t>
          </w:r>
          <w:r>
            <w:rPr>
              <w:rFonts w:hint="eastAsia" w:ascii="等线" w:hAnsi="等线" w:eastAsia="仿宋_GB2312" w:cs="Times New Roman"/>
              <w:sz w:val="32"/>
              <w:szCs w:val="22"/>
            </w:rPr>
            <w:t>6关于试验过程中取样问题</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_Toc604 \h </w:instrText>
          </w:r>
          <w:r>
            <w:rPr>
              <w:rFonts w:ascii="等线" w:hAnsi="等线" w:eastAsia="仿宋_GB2312" w:cs="Times New Roman"/>
              <w:sz w:val="32"/>
              <w:szCs w:val="22"/>
            </w:rPr>
            <w:fldChar w:fldCharType="separate"/>
          </w:r>
          <w:r>
            <w:rPr>
              <w:rFonts w:ascii="等线" w:hAnsi="等线" w:eastAsia="仿宋_GB2312" w:cs="Times New Roman"/>
              <w:sz w:val="32"/>
              <w:szCs w:val="22"/>
            </w:rPr>
            <w:t>4</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"_Toc19837" </w:instrText>
          </w:r>
          <w:r>
            <w:fldChar w:fldCharType="separate"/>
          </w:r>
          <w:r>
            <w:rPr>
              <w:rFonts w:hint="eastAsia" w:ascii="等线" w:hAnsi="等线" w:eastAsia="仿宋_GB2312" w:cs="Times New Roman"/>
              <w:sz w:val="32"/>
              <w:szCs w:val="22"/>
            </w:rPr>
            <w:t>二、试验流程安排</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_Toc19837 \h </w:instrText>
          </w:r>
          <w:r>
            <w:rPr>
              <w:rFonts w:ascii="等线" w:hAnsi="等线" w:eastAsia="仿宋_GB2312" w:cs="Times New Roman"/>
              <w:sz w:val="32"/>
              <w:szCs w:val="22"/>
            </w:rPr>
            <w:fldChar w:fldCharType="separate"/>
          </w:r>
          <w:r>
            <w:rPr>
              <w:rFonts w:ascii="等线" w:hAnsi="等线" w:eastAsia="仿宋_GB2312" w:cs="Times New Roman"/>
              <w:sz w:val="32"/>
              <w:szCs w:val="22"/>
            </w:rPr>
            <w:t>5</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"_Toc9442" </w:instrText>
          </w:r>
          <w:r>
            <w:fldChar w:fldCharType="separate"/>
          </w:r>
          <w:r>
            <w:rPr>
              <w:rFonts w:ascii="等线" w:hAnsi="等线" w:eastAsia="仿宋_GB2312" w:cs="Times New Roman"/>
              <w:sz w:val="32"/>
              <w:szCs w:val="22"/>
            </w:rPr>
            <w:t>2.1</w:t>
          </w:r>
          <w:r>
            <w:rPr>
              <w:rFonts w:hint="eastAsia" w:ascii="等线" w:hAnsi="等线" w:eastAsia="仿宋_GB2312" w:cs="Times New Roman"/>
              <w:sz w:val="32"/>
              <w:szCs w:val="22"/>
            </w:rPr>
            <w:t>试验前工作流程</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_Toc9442 \h </w:instrText>
          </w:r>
          <w:r>
            <w:rPr>
              <w:rFonts w:ascii="等线" w:hAnsi="等线" w:eastAsia="仿宋_GB2312" w:cs="Times New Roman"/>
              <w:sz w:val="32"/>
              <w:szCs w:val="22"/>
            </w:rPr>
            <w:fldChar w:fldCharType="separate"/>
          </w:r>
          <w:r>
            <w:rPr>
              <w:rFonts w:ascii="等线" w:hAnsi="等线" w:eastAsia="仿宋_GB2312" w:cs="Times New Roman"/>
              <w:sz w:val="32"/>
              <w:szCs w:val="22"/>
            </w:rPr>
            <w:t>7</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"_Toc11912" </w:instrText>
          </w:r>
          <w:r>
            <w:fldChar w:fldCharType="separate"/>
          </w:r>
          <w:r>
            <w:rPr>
              <w:rFonts w:ascii="等线" w:hAnsi="等线" w:eastAsia="仿宋_GB2312" w:cs="Times New Roman"/>
              <w:sz w:val="32"/>
              <w:szCs w:val="22"/>
            </w:rPr>
            <w:t>2.2</w:t>
          </w:r>
          <w:r>
            <w:rPr>
              <w:rFonts w:hint="eastAsia" w:ascii="等线" w:hAnsi="等线" w:eastAsia="仿宋_GB2312" w:cs="Times New Roman"/>
              <w:sz w:val="32"/>
              <w:szCs w:val="22"/>
            </w:rPr>
            <w:t>试验周期</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_Toc11912 \h </w:instrText>
          </w:r>
          <w:r>
            <w:rPr>
              <w:rFonts w:ascii="等线" w:hAnsi="等线" w:eastAsia="仿宋_GB2312" w:cs="Times New Roman"/>
              <w:sz w:val="32"/>
              <w:szCs w:val="22"/>
            </w:rPr>
            <w:fldChar w:fldCharType="separate"/>
          </w:r>
          <w:r>
            <w:rPr>
              <w:rFonts w:ascii="等线" w:hAnsi="等线" w:eastAsia="仿宋_GB2312" w:cs="Times New Roman"/>
              <w:sz w:val="32"/>
              <w:szCs w:val="22"/>
            </w:rPr>
            <w:t>7</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"_Toc29574" </w:instrText>
          </w:r>
          <w:r>
            <w:fldChar w:fldCharType="separate"/>
          </w:r>
          <w:r>
            <w:rPr>
              <w:rFonts w:ascii="仿宋_GB2312" w:hAnsi="等线" w:eastAsia="仿宋_GB2312" w:cs="Times New Roman"/>
              <w:sz w:val="32"/>
              <w:szCs w:val="22"/>
            </w:rPr>
            <w:t>2</w:t>
          </w:r>
          <w:r>
            <w:rPr>
              <w:rFonts w:hint="eastAsia" w:ascii="仿宋_GB2312" w:hAnsi="等线" w:eastAsia="仿宋_GB2312" w:cs="Times New Roman"/>
              <w:sz w:val="32"/>
              <w:szCs w:val="22"/>
            </w:rPr>
            <w:t>.2.1考核准备期</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_Toc29574 \h </w:instrText>
          </w:r>
          <w:r>
            <w:rPr>
              <w:rFonts w:ascii="等线" w:hAnsi="等线" w:eastAsia="仿宋_GB2312" w:cs="Times New Roman"/>
              <w:sz w:val="32"/>
              <w:szCs w:val="22"/>
            </w:rPr>
            <w:fldChar w:fldCharType="separate"/>
          </w:r>
          <w:r>
            <w:rPr>
              <w:rFonts w:ascii="等线" w:hAnsi="等线" w:eastAsia="仿宋_GB2312" w:cs="Times New Roman"/>
              <w:sz w:val="32"/>
              <w:szCs w:val="22"/>
            </w:rPr>
            <w:t>7</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"_Toc2669" </w:instrText>
          </w:r>
          <w:r>
            <w:fldChar w:fldCharType="separate"/>
          </w:r>
          <w:r>
            <w:rPr>
              <w:rFonts w:ascii="仿宋_GB2312" w:hAnsi="等线" w:eastAsia="仿宋_GB2312" w:cs="Times New Roman"/>
              <w:sz w:val="32"/>
              <w:szCs w:val="22"/>
            </w:rPr>
            <w:t>2</w:t>
          </w:r>
          <w:r>
            <w:rPr>
              <w:rFonts w:hint="eastAsia" w:ascii="仿宋_GB2312" w:hAnsi="等线" w:eastAsia="仿宋_GB2312" w:cs="Times New Roman"/>
              <w:sz w:val="32"/>
              <w:szCs w:val="22"/>
            </w:rPr>
            <w:t>.2.2正式考核期</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_Toc2669 \h </w:instrText>
          </w:r>
          <w:r>
            <w:rPr>
              <w:rFonts w:ascii="等线" w:hAnsi="等线" w:eastAsia="仿宋_GB2312" w:cs="Times New Roman"/>
              <w:sz w:val="32"/>
              <w:szCs w:val="22"/>
            </w:rPr>
            <w:fldChar w:fldCharType="separate"/>
          </w:r>
          <w:r>
            <w:rPr>
              <w:rFonts w:ascii="等线" w:hAnsi="等线" w:eastAsia="仿宋_GB2312" w:cs="Times New Roman"/>
              <w:sz w:val="32"/>
              <w:szCs w:val="22"/>
            </w:rPr>
            <w:t>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"_Toc12546" </w:instrText>
          </w:r>
          <w:r>
            <w:fldChar w:fldCharType="separate"/>
          </w:r>
          <w:r>
            <w:rPr>
              <w:rFonts w:ascii="等线" w:hAnsi="等线" w:eastAsia="仿宋_GB2312" w:cs="Times New Roman"/>
              <w:sz w:val="32"/>
              <w:szCs w:val="22"/>
            </w:rPr>
            <w:t>2.3</w:t>
          </w:r>
          <w:r>
            <w:rPr>
              <w:rFonts w:hint="eastAsia" w:ascii="等线" w:hAnsi="等线" w:eastAsia="仿宋_GB2312" w:cs="Times New Roman"/>
              <w:sz w:val="32"/>
              <w:szCs w:val="22"/>
            </w:rPr>
            <w:t>设备恢复期</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_Toc12546 \h </w:instrText>
          </w:r>
          <w:r>
            <w:rPr>
              <w:rFonts w:ascii="等线" w:hAnsi="等线" w:eastAsia="仿宋_GB2312" w:cs="Times New Roman"/>
              <w:sz w:val="32"/>
              <w:szCs w:val="22"/>
            </w:rPr>
            <w:fldChar w:fldCharType="separate"/>
          </w:r>
          <w:r>
            <w:rPr>
              <w:rFonts w:ascii="等线" w:hAnsi="等线" w:eastAsia="仿宋_GB2312" w:cs="Times New Roman"/>
              <w:sz w:val="32"/>
              <w:szCs w:val="22"/>
            </w:rPr>
            <w:t>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"_Toc25751" </w:instrText>
          </w:r>
          <w:r>
            <w:fldChar w:fldCharType="separate"/>
          </w:r>
          <w:r>
            <w:rPr>
              <w:rFonts w:ascii="等线" w:hAnsi="等线" w:eastAsia="仿宋_GB2312" w:cs="Times New Roman"/>
              <w:sz w:val="32"/>
              <w:szCs w:val="22"/>
            </w:rPr>
            <w:t>2.4</w:t>
          </w:r>
          <w:r>
            <w:rPr>
              <w:rFonts w:hint="eastAsia" w:ascii="等线" w:hAnsi="等线" w:eastAsia="仿宋_GB2312" w:cs="Times New Roman"/>
              <w:sz w:val="32"/>
              <w:szCs w:val="22"/>
            </w:rPr>
            <w:t>特别注意</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_Toc25751 \h </w:instrText>
          </w:r>
          <w:r>
            <w:rPr>
              <w:rFonts w:ascii="等线" w:hAnsi="等线" w:eastAsia="仿宋_GB2312" w:cs="Times New Roman"/>
              <w:sz w:val="32"/>
              <w:szCs w:val="22"/>
            </w:rPr>
            <w:fldChar w:fldCharType="separate"/>
          </w:r>
          <w:r>
            <w:rPr>
              <w:rFonts w:ascii="等线" w:hAnsi="等线" w:eastAsia="仿宋_GB2312" w:cs="Times New Roman"/>
              <w:sz w:val="32"/>
              <w:szCs w:val="22"/>
            </w:rPr>
            <w:t>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"_Toc22597" </w:instrText>
          </w:r>
          <w:r>
            <w:fldChar w:fldCharType="separate"/>
          </w:r>
          <w:r>
            <w:rPr>
              <w:rFonts w:hint="eastAsia" w:ascii="等线" w:hAnsi="等线" w:eastAsia="仿宋_GB2312" w:cs="Times New Roman"/>
              <w:sz w:val="32"/>
              <w:szCs w:val="22"/>
            </w:rPr>
            <w:t>三、出泥指标及检测方案</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_Toc22597 \h </w:instrText>
          </w:r>
          <w:r>
            <w:rPr>
              <w:rFonts w:ascii="等线" w:hAnsi="等线" w:eastAsia="仿宋_GB2312" w:cs="Times New Roman"/>
              <w:sz w:val="32"/>
              <w:szCs w:val="22"/>
            </w:rPr>
            <w:fldChar w:fldCharType="separate"/>
          </w:r>
          <w:r>
            <w:rPr>
              <w:rFonts w:ascii="等线" w:hAnsi="等线" w:eastAsia="仿宋_GB2312" w:cs="Times New Roman"/>
              <w:sz w:val="32"/>
              <w:szCs w:val="22"/>
            </w:rPr>
            <w:t>10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"_Toc1189" </w:instrText>
          </w:r>
          <w:r>
            <w:fldChar w:fldCharType="separate"/>
          </w:r>
          <w:r>
            <w:rPr>
              <w:rFonts w:ascii="等线" w:hAnsi="等线" w:eastAsia="仿宋_GB2312" w:cs="Times New Roman"/>
              <w:sz w:val="32"/>
              <w:szCs w:val="22"/>
            </w:rPr>
            <w:t>3.1</w:t>
          </w:r>
          <w:r>
            <w:rPr>
              <w:rFonts w:hint="eastAsia" w:ascii="等线" w:hAnsi="等线" w:eastAsia="仿宋_GB2312" w:cs="Times New Roman"/>
              <w:sz w:val="32"/>
              <w:szCs w:val="22"/>
            </w:rPr>
            <w:t>污泥出泥指标</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_Toc1189 \h </w:instrText>
          </w:r>
          <w:r>
            <w:rPr>
              <w:rFonts w:ascii="等线" w:hAnsi="等线" w:eastAsia="仿宋_GB2312" w:cs="Times New Roman"/>
              <w:sz w:val="32"/>
              <w:szCs w:val="22"/>
            </w:rPr>
            <w:fldChar w:fldCharType="separate"/>
          </w:r>
          <w:r>
            <w:rPr>
              <w:rFonts w:ascii="等线" w:hAnsi="等线" w:eastAsia="仿宋_GB2312" w:cs="Times New Roman"/>
              <w:sz w:val="32"/>
              <w:szCs w:val="22"/>
            </w:rPr>
            <w:t>10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"_Toc4411" </w:instrText>
          </w:r>
          <w:r>
            <w:fldChar w:fldCharType="separate"/>
          </w:r>
          <w:r>
            <w:rPr>
              <w:rFonts w:ascii="仿宋_GB2312" w:hAnsi="等线" w:eastAsia="仿宋_GB2312" w:cs="Times New Roman"/>
              <w:sz w:val="32"/>
              <w:szCs w:val="22"/>
            </w:rPr>
            <w:t>3</w:t>
          </w:r>
          <w:r>
            <w:rPr>
              <w:rFonts w:hint="eastAsia" w:ascii="仿宋_GB2312" w:hAnsi="等线" w:eastAsia="仿宋_GB2312" w:cs="Times New Roman"/>
              <w:sz w:val="32"/>
              <w:szCs w:val="22"/>
            </w:rPr>
            <w:t>.1.1考核指标</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_Toc4411 \h </w:instrText>
          </w:r>
          <w:r>
            <w:rPr>
              <w:rFonts w:ascii="等线" w:hAnsi="等线" w:eastAsia="仿宋_GB2312" w:cs="Times New Roman"/>
              <w:sz w:val="32"/>
              <w:szCs w:val="22"/>
            </w:rPr>
            <w:fldChar w:fldCharType="separate"/>
          </w:r>
          <w:r>
            <w:rPr>
              <w:rFonts w:ascii="等线" w:hAnsi="等线" w:eastAsia="仿宋_GB2312" w:cs="Times New Roman"/>
              <w:sz w:val="32"/>
              <w:szCs w:val="22"/>
            </w:rPr>
            <w:t>10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"_Toc32396" </w:instrText>
          </w:r>
          <w:r>
            <w:fldChar w:fldCharType="separate"/>
          </w:r>
          <w:r>
            <w:rPr>
              <w:rFonts w:ascii="仿宋_GB2312" w:hAnsi="等线" w:eastAsia="仿宋_GB2312" w:cs="Times New Roman"/>
              <w:sz w:val="32"/>
              <w:szCs w:val="22"/>
            </w:rPr>
            <w:t>3</w:t>
          </w:r>
          <w:r>
            <w:rPr>
              <w:rFonts w:hint="eastAsia" w:ascii="仿宋_GB2312" w:hAnsi="等线" w:eastAsia="仿宋_GB2312" w:cs="Times New Roman"/>
              <w:sz w:val="32"/>
              <w:szCs w:val="22"/>
            </w:rPr>
            <w:t>.1.2污泥出泥指标要求</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_Toc32396 \h </w:instrText>
          </w:r>
          <w:r>
            <w:rPr>
              <w:rFonts w:ascii="等线" w:hAnsi="等线" w:eastAsia="仿宋_GB2312" w:cs="Times New Roman"/>
              <w:sz w:val="32"/>
              <w:szCs w:val="22"/>
            </w:rPr>
            <w:fldChar w:fldCharType="separate"/>
          </w:r>
          <w:r>
            <w:rPr>
              <w:rFonts w:ascii="等线" w:hAnsi="等线" w:eastAsia="仿宋_GB2312" w:cs="Times New Roman"/>
              <w:sz w:val="32"/>
              <w:szCs w:val="22"/>
            </w:rPr>
            <w:t>10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"_Toc25808" </w:instrText>
          </w:r>
          <w:r>
            <w:fldChar w:fldCharType="separate"/>
          </w:r>
          <w:r>
            <w:rPr>
              <w:rFonts w:ascii="等线" w:hAnsi="等线" w:eastAsia="仿宋_GB2312" w:cs="Times New Roman"/>
              <w:sz w:val="32"/>
              <w:szCs w:val="22"/>
            </w:rPr>
            <w:t>3.2</w:t>
          </w:r>
          <w:r>
            <w:rPr>
              <w:rFonts w:hint="eastAsia" w:ascii="等线" w:hAnsi="等线" w:eastAsia="仿宋_GB2312" w:cs="Times New Roman"/>
              <w:sz w:val="32"/>
              <w:szCs w:val="22"/>
            </w:rPr>
            <w:t>正式考核期试验取样位置及检测频率</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_Toc25808 \h </w:instrText>
          </w:r>
          <w:r>
            <w:rPr>
              <w:rFonts w:ascii="等线" w:hAnsi="等线" w:eastAsia="仿宋_GB2312" w:cs="Times New Roman"/>
              <w:sz w:val="32"/>
              <w:szCs w:val="22"/>
            </w:rPr>
            <w:fldChar w:fldCharType="separate"/>
          </w:r>
          <w:r>
            <w:rPr>
              <w:rFonts w:ascii="等线" w:hAnsi="等线" w:eastAsia="仿宋_GB2312" w:cs="Times New Roman"/>
              <w:sz w:val="32"/>
              <w:szCs w:val="22"/>
            </w:rPr>
            <w:t>12</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"_Toc12560" </w:instrText>
          </w:r>
          <w:r>
            <w:fldChar w:fldCharType="separate"/>
          </w:r>
          <w:r>
            <w:rPr>
              <w:rFonts w:ascii="等线" w:hAnsi="等线" w:eastAsia="仿宋_GB2312" w:cs="Times New Roman"/>
              <w:sz w:val="32"/>
              <w:szCs w:val="22"/>
            </w:rPr>
            <w:t>3.3</w:t>
          </w:r>
          <w:r>
            <w:rPr>
              <w:rFonts w:hint="eastAsia" w:ascii="等线" w:hAnsi="等线" w:eastAsia="仿宋_GB2312" w:cs="Times New Roman"/>
              <w:sz w:val="32"/>
              <w:szCs w:val="22"/>
            </w:rPr>
            <w:t>考核结果判定</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_Toc12560 \h </w:instrText>
          </w:r>
          <w:r>
            <w:rPr>
              <w:rFonts w:ascii="等线" w:hAnsi="等线" w:eastAsia="仿宋_GB2312" w:cs="Times New Roman"/>
              <w:sz w:val="32"/>
              <w:szCs w:val="22"/>
            </w:rPr>
            <w:fldChar w:fldCharType="separate"/>
          </w:r>
          <w:r>
            <w:rPr>
              <w:rFonts w:ascii="等线" w:hAnsi="等线" w:eastAsia="仿宋_GB2312" w:cs="Times New Roman"/>
              <w:sz w:val="32"/>
              <w:szCs w:val="22"/>
            </w:rPr>
            <w:t>13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"_Toc29212" </w:instrText>
          </w:r>
          <w:r>
            <w:fldChar w:fldCharType="separate"/>
          </w:r>
          <w:r>
            <w:rPr>
              <w:rFonts w:ascii="等线" w:hAnsi="等线" w:eastAsia="仿宋_GB2312" w:cs="Times New Roman"/>
              <w:sz w:val="32"/>
              <w:szCs w:val="22"/>
            </w:rPr>
            <w:t>3.3.1</w:t>
          </w:r>
          <w:r>
            <w:rPr>
              <w:rFonts w:hint="eastAsia" w:ascii="等线" w:hAnsi="等线" w:eastAsia="仿宋_GB2312" w:cs="Times New Roman"/>
              <w:sz w:val="32"/>
              <w:szCs w:val="22"/>
            </w:rPr>
            <w:t>考核要求介绍</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_Toc29212 \h </w:instrText>
          </w:r>
          <w:r>
            <w:rPr>
              <w:rFonts w:ascii="等线" w:hAnsi="等线" w:eastAsia="仿宋_GB2312" w:cs="Times New Roman"/>
              <w:sz w:val="32"/>
              <w:szCs w:val="22"/>
            </w:rPr>
            <w:fldChar w:fldCharType="separate"/>
          </w:r>
          <w:r>
            <w:rPr>
              <w:rFonts w:ascii="等线" w:hAnsi="等线" w:eastAsia="仿宋_GB2312" w:cs="Times New Roman"/>
              <w:sz w:val="32"/>
              <w:szCs w:val="22"/>
            </w:rPr>
            <w:t>13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"_Toc5316" </w:instrText>
          </w:r>
          <w:r>
            <w:fldChar w:fldCharType="separate"/>
          </w:r>
          <w:r>
            <w:rPr>
              <w:rFonts w:ascii="等线" w:hAnsi="等线" w:eastAsia="仿宋_GB2312" w:cs="Times New Roman"/>
              <w:sz w:val="32"/>
              <w:szCs w:val="22"/>
            </w:rPr>
            <w:t>3.3.2</w:t>
          </w:r>
          <w:r>
            <w:rPr>
              <w:rFonts w:hint="eastAsia" w:ascii="等线" w:hAnsi="等线" w:eastAsia="仿宋_GB2312" w:cs="Times New Roman"/>
              <w:sz w:val="32"/>
              <w:szCs w:val="22"/>
            </w:rPr>
            <w:t>记录表格</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_Toc5316 \h </w:instrText>
          </w:r>
          <w:r>
            <w:rPr>
              <w:rFonts w:ascii="等线" w:hAnsi="等线" w:eastAsia="仿宋_GB2312" w:cs="Times New Roman"/>
              <w:sz w:val="32"/>
              <w:szCs w:val="22"/>
            </w:rPr>
            <w:fldChar w:fldCharType="separate"/>
          </w:r>
          <w:r>
            <w:rPr>
              <w:rFonts w:ascii="等线" w:hAnsi="等线" w:eastAsia="仿宋_GB2312" w:cs="Times New Roman"/>
              <w:sz w:val="32"/>
              <w:szCs w:val="22"/>
            </w:rPr>
            <w:t>16</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"_Toc13784" </w:instrText>
          </w:r>
          <w:r>
            <w:fldChar w:fldCharType="separate"/>
          </w:r>
          <w:r>
            <w:rPr>
              <w:rFonts w:ascii="等线" w:hAnsi="等线" w:eastAsia="仿宋_GB2312" w:cs="Times New Roman"/>
              <w:sz w:val="32"/>
              <w:szCs w:val="22"/>
            </w:rPr>
            <w:t>3.3.3</w:t>
          </w:r>
          <w:r>
            <w:rPr>
              <w:rFonts w:hint="eastAsia" w:ascii="等线" w:hAnsi="等线" w:eastAsia="仿宋_GB2312" w:cs="Times New Roman"/>
              <w:sz w:val="32"/>
              <w:szCs w:val="22"/>
            </w:rPr>
            <w:t>结果判定</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_Toc13784 \h </w:instrText>
          </w:r>
          <w:r>
            <w:rPr>
              <w:rFonts w:ascii="等线" w:hAnsi="等线" w:eastAsia="仿宋_GB2312" w:cs="Times New Roman"/>
              <w:sz w:val="32"/>
              <w:szCs w:val="22"/>
            </w:rPr>
            <w:fldChar w:fldCharType="separate"/>
          </w:r>
          <w:r>
            <w:rPr>
              <w:rFonts w:ascii="等线" w:hAnsi="等线" w:eastAsia="仿宋_GB2312" w:cs="Times New Roman"/>
              <w:sz w:val="32"/>
              <w:szCs w:val="22"/>
            </w:rPr>
            <w:t>16</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"_Toc18470" </w:instrText>
          </w:r>
          <w:r>
            <w:fldChar w:fldCharType="separate"/>
          </w:r>
          <w:r>
            <w:rPr>
              <w:rFonts w:ascii="等线" w:hAnsi="等线" w:eastAsia="仿宋_GB2312" w:cs="Times New Roman"/>
              <w:sz w:val="32"/>
              <w:szCs w:val="22"/>
            </w:rPr>
            <w:t>3.4</w:t>
          </w:r>
          <w:r>
            <w:rPr>
              <w:rFonts w:hint="eastAsia" w:ascii="等线" w:hAnsi="等线" w:eastAsia="仿宋_GB2312" w:cs="Times New Roman"/>
              <w:sz w:val="32"/>
              <w:szCs w:val="22"/>
            </w:rPr>
            <w:t>样品保存的有关说明</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_Toc18470 \h </w:instrText>
          </w:r>
          <w:r>
            <w:rPr>
              <w:rFonts w:ascii="等线" w:hAnsi="等线" w:eastAsia="仿宋_GB2312" w:cs="Times New Roman"/>
              <w:sz w:val="32"/>
              <w:szCs w:val="22"/>
            </w:rPr>
            <w:fldChar w:fldCharType="separate"/>
          </w:r>
          <w:r>
            <w:rPr>
              <w:rFonts w:ascii="等线" w:hAnsi="等线" w:eastAsia="仿宋_GB2312" w:cs="Times New Roman"/>
              <w:sz w:val="32"/>
              <w:szCs w:val="22"/>
            </w:rPr>
            <w:t>17</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"_Toc16010" </w:instrText>
          </w:r>
          <w:r>
            <w:fldChar w:fldCharType="separate"/>
          </w:r>
          <w:r>
            <w:rPr>
              <w:rFonts w:hint="eastAsia" w:ascii="等线" w:hAnsi="等线" w:eastAsia="仿宋_GB2312" w:cs="Times New Roman"/>
              <w:sz w:val="32"/>
              <w:szCs w:val="22"/>
            </w:rPr>
            <w:t>四、试验风险及处理</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_Toc16010 \h </w:instrText>
          </w:r>
          <w:r>
            <w:rPr>
              <w:rFonts w:ascii="等线" w:hAnsi="等线" w:eastAsia="仿宋_GB2312" w:cs="Times New Roman"/>
              <w:sz w:val="32"/>
              <w:szCs w:val="22"/>
            </w:rPr>
            <w:fldChar w:fldCharType="separate"/>
          </w:r>
          <w:r>
            <w:rPr>
              <w:rFonts w:ascii="等线" w:hAnsi="等线" w:eastAsia="仿宋_GB2312" w:cs="Times New Roman"/>
              <w:sz w:val="32"/>
              <w:szCs w:val="22"/>
            </w:rPr>
            <w:t>18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"_Toc27039" </w:instrText>
          </w:r>
          <w:r>
            <w:fldChar w:fldCharType="separate"/>
          </w:r>
          <w:r>
            <w:rPr>
              <w:rFonts w:ascii="等线" w:hAnsi="等线" w:eastAsia="仿宋_GB2312" w:cs="Times New Roman"/>
              <w:sz w:val="32"/>
              <w:szCs w:val="22"/>
            </w:rPr>
            <w:t>4.1</w:t>
          </w:r>
          <w:r>
            <w:rPr>
              <w:rFonts w:hint="eastAsia" w:ascii="等线" w:hAnsi="等线" w:eastAsia="仿宋_GB2312" w:cs="Times New Roman"/>
              <w:sz w:val="32"/>
              <w:szCs w:val="22"/>
            </w:rPr>
            <w:t>试验过程中的风险及责任</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_Toc27039 \h </w:instrText>
          </w:r>
          <w:r>
            <w:rPr>
              <w:rFonts w:ascii="等线" w:hAnsi="等线" w:eastAsia="仿宋_GB2312" w:cs="Times New Roman"/>
              <w:sz w:val="32"/>
              <w:szCs w:val="22"/>
            </w:rPr>
            <w:fldChar w:fldCharType="separate"/>
          </w:r>
          <w:r>
            <w:rPr>
              <w:rFonts w:ascii="等线" w:hAnsi="等线" w:eastAsia="仿宋_GB2312" w:cs="Times New Roman"/>
              <w:sz w:val="32"/>
              <w:szCs w:val="22"/>
            </w:rPr>
            <w:t>18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"_Toc15119" </w:instrText>
          </w:r>
          <w:r>
            <w:fldChar w:fldCharType="separate"/>
          </w:r>
          <w:r>
            <w:rPr>
              <w:rFonts w:ascii="等线" w:hAnsi="等线" w:eastAsia="仿宋_GB2312" w:cs="Times New Roman"/>
              <w:sz w:val="32"/>
              <w:szCs w:val="22"/>
            </w:rPr>
            <w:t>4.2</w:t>
          </w:r>
          <w:r>
            <w:rPr>
              <w:rFonts w:hint="eastAsia" w:ascii="等线" w:hAnsi="等线" w:eastAsia="仿宋_GB2312" w:cs="Times New Roman"/>
              <w:sz w:val="32"/>
              <w:szCs w:val="22"/>
            </w:rPr>
            <w:t>风险方案</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_Toc15119 \h </w:instrText>
          </w:r>
          <w:r>
            <w:rPr>
              <w:rFonts w:ascii="等线" w:hAnsi="等线" w:eastAsia="仿宋_GB2312" w:cs="Times New Roman"/>
              <w:sz w:val="32"/>
              <w:szCs w:val="22"/>
            </w:rPr>
            <w:fldChar w:fldCharType="separate"/>
          </w:r>
          <w:r>
            <w:rPr>
              <w:rFonts w:ascii="等线" w:hAnsi="等线" w:eastAsia="仿宋_GB2312" w:cs="Times New Roman"/>
              <w:sz w:val="32"/>
              <w:szCs w:val="22"/>
            </w:rPr>
            <w:t>18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"_Toc5732" </w:instrText>
          </w:r>
          <w:r>
            <w:fldChar w:fldCharType="separate"/>
          </w:r>
          <w:r>
            <w:rPr>
              <w:rFonts w:hint="eastAsia" w:ascii="黑体" w:hAnsi="黑体" w:eastAsia="黑体" w:cs="黑体"/>
              <w:sz w:val="32"/>
              <w:szCs w:val="22"/>
            </w:rPr>
            <w:t>附件1</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_Toc5732 \h </w:instrText>
          </w:r>
          <w:r>
            <w:rPr>
              <w:rFonts w:ascii="等线" w:hAnsi="等线" w:eastAsia="仿宋_GB2312" w:cs="Times New Roman"/>
              <w:sz w:val="32"/>
              <w:szCs w:val="22"/>
            </w:rPr>
            <w:fldChar w:fldCharType="separate"/>
          </w:r>
          <w:r>
            <w:rPr>
              <w:rFonts w:ascii="等线" w:hAnsi="等线" w:eastAsia="仿宋_GB2312" w:cs="Times New Roman"/>
              <w:sz w:val="32"/>
              <w:szCs w:val="22"/>
            </w:rPr>
            <w:t>19</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"_Toc32358" </w:instrText>
          </w:r>
          <w:r>
            <w:fldChar w:fldCharType="separate"/>
          </w:r>
          <w:r>
            <w:rPr>
              <w:rFonts w:hint="eastAsia" w:ascii="黑体" w:hAnsi="黑体" w:eastAsia="黑体" w:cs="黑体"/>
              <w:sz w:val="32"/>
              <w:szCs w:val="22"/>
            </w:rPr>
            <w:t>附件2</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_Toc32358 \h </w:instrText>
          </w:r>
          <w:r>
            <w:rPr>
              <w:rFonts w:ascii="等线" w:hAnsi="等线" w:eastAsia="仿宋_GB2312" w:cs="Times New Roman"/>
              <w:sz w:val="32"/>
              <w:szCs w:val="22"/>
            </w:rPr>
            <w:fldChar w:fldCharType="separate"/>
          </w:r>
          <w:r>
            <w:rPr>
              <w:rFonts w:ascii="等线" w:hAnsi="等线" w:eastAsia="仿宋_GB2312" w:cs="Times New Roman"/>
              <w:sz w:val="32"/>
              <w:szCs w:val="22"/>
            </w:rPr>
            <w:t>20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"_Toc23953" </w:instrText>
          </w:r>
          <w:r>
            <w:fldChar w:fldCharType="separate"/>
          </w:r>
          <w:r>
            <w:rPr>
              <w:rFonts w:hint="eastAsia" w:ascii="黑体" w:hAnsi="黑体" w:eastAsia="黑体" w:cs="黑体"/>
              <w:sz w:val="32"/>
              <w:szCs w:val="22"/>
            </w:rPr>
            <w:t>附件3</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_Toc23953 \h </w:instrText>
          </w:r>
          <w:r>
            <w:rPr>
              <w:rFonts w:ascii="等线" w:hAnsi="等线" w:eastAsia="仿宋_GB2312" w:cs="Times New Roman"/>
              <w:sz w:val="32"/>
              <w:szCs w:val="22"/>
            </w:rPr>
            <w:fldChar w:fldCharType="separate"/>
          </w:r>
          <w:r>
            <w:rPr>
              <w:rFonts w:ascii="等线" w:hAnsi="等线" w:eastAsia="仿宋_GB2312" w:cs="Times New Roman"/>
              <w:sz w:val="32"/>
              <w:szCs w:val="22"/>
            </w:rPr>
            <w:t>26</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"_Toc10987" </w:instrText>
          </w:r>
          <w:r>
            <w:fldChar w:fldCharType="separate"/>
          </w:r>
          <w:r>
            <w:rPr>
              <w:rFonts w:hint="eastAsia" w:ascii="黑体" w:hAnsi="黑体" w:eastAsia="黑体" w:cs="黑体"/>
              <w:sz w:val="32"/>
              <w:szCs w:val="22"/>
            </w:rPr>
            <w:t>附件4</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_Toc10987 \h </w:instrText>
          </w:r>
          <w:r>
            <w:rPr>
              <w:rFonts w:ascii="等线" w:hAnsi="等线" w:eastAsia="仿宋_GB2312" w:cs="Times New Roman"/>
              <w:sz w:val="32"/>
              <w:szCs w:val="22"/>
            </w:rPr>
            <w:fldChar w:fldCharType="separate"/>
          </w:r>
          <w:r>
            <w:rPr>
              <w:rFonts w:ascii="等线" w:hAnsi="等线" w:eastAsia="仿宋_GB2312" w:cs="Times New Roman"/>
              <w:sz w:val="32"/>
              <w:szCs w:val="22"/>
            </w:rPr>
            <w:t>33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spacing w:line="360" w:lineRule="auto"/>
            <w:rPr>
              <w:rFonts w:hint="eastAsia" w:ascii="仿宋_GB2312" w:hAnsi="等线" w:eastAsia="仿宋_GB2312" w:cs="Times New Roman"/>
              <w:b/>
              <w:bCs/>
              <w:sz w:val="32"/>
              <w:szCs w:val="22"/>
              <w:lang w:val="zh-CN"/>
            </w:rPr>
          </w:pPr>
          <w:r>
            <w:rPr>
              <w:rFonts w:hint="eastAsia" w:ascii="仿宋_GB2312" w:hAnsi="等线" w:eastAsia="仿宋_GB2312" w:cs="Times New Roman"/>
              <w:bCs/>
              <w:sz w:val="32"/>
              <w:szCs w:val="22"/>
              <w:lang w:val="zh-CN"/>
            </w:rPr>
            <w:fldChar w:fldCharType="end"/>
          </w:r>
        </w:p>
      </w:sdtContent>
    </w:sdt>
    <w:p>
      <w:pPr>
        <w:tabs>
          <w:tab w:val="right" w:leader="dot" w:pos="8306"/>
        </w:tabs>
        <w:spacing w:line="360" w:lineRule="auto"/>
        <w:rPr>
          <w:rFonts w:hint="eastAsia" w:ascii="仿宋_GB2312" w:hAnsi="等线" w:eastAsia="仿宋_GB2312" w:cs="Times New Roman"/>
          <w:sz w:val="32"/>
          <w:szCs w:val="32"/>
        </w:rPr>
      </w:pPr>
    </w:p>
    <w:p>
      <w:pPr>
        <w:rPr>
          <w:rFonts w:ascii="仿宋_GB2312"/>
          <w:szCs w:val="32"/>
        </w:rPr>
        <w:sectPr>
          <w:footerReference r:id="rId6" w:type="default"/>
          <w:pgSz w:w="11906" w:h="16838"/>
          <w:pgMar w:top="1440" w:right="1800" w:bottom="1440" w:left="1800" w:header="851" w:footer="992" w:gutter="0"/>
          <w:pgNumType w:fmt="upperRoman" w:start="1"/>
          <w:cols w:space="425" w:num="1"/>
          <w:docGrid w:type="lines" w:linePitch="312" w:charSpace="0"/>
        </w:sectPr>
      </w:pPr>
    </w:p>
    <w:p>
      <w:pPr>
        <w:keepNext/>
        <w:keepLines/>
        <w:spacing w:line="360" w:lineRule="auto"/>
        <w:outlineLvl w:val="0"/>
        <w:rPr>
          <w:rFonts w:ascii="Times New Roman" w:hAnsi="Times New Roman" w:eastAsia="黑体" w:cs="Times New Roman"/>
          <w:b/>
          <w:kern w:val="44"/>
          <w:sz w:val="32"/>
          <w:szCs w:val="22"/>
        </w:rPr>
      </w:pPr>
      <w:bookmarkStart w:id="11" w:name="_Toc5623"/>
      <w:bookmarkStart w:id="12" w:name="_Toc71483176"/>
      <w:r>
        <w:rPr>
          <w:rFonts w:hint="eastAsia" w:ascii="Times New Roman" w:hAnsi="Times New Roman" w:eastAsia="黑体" w:cs="Times New Roman"/>
          <w:b/>
          <w:kern w:val="44"/>
          <w:sz w:val="32"/>
          <w:szCs w:val="22"/>
        </w:rPr>
        <w:t>一、试验总体情况介绍</w:t>
      </w:r>
      <w:bookmarkEnd w:id="11"/>
      <w:bookmarkEnd w:id="12"/>
    </w:p>
    <w:p>
      <w:pPr>
        <w:keepNext/>
        <w:keepLines/>
        <w:spacing w:line="360" w:lineRule="auto"/>
        <w:outlineLvl w:val="1"/>
        <w:rPr>
          <w:rFonts w:ascii="Arial" w:hAnsi="Arial" w:eastAsia="楷体_GB2312" w:cs="Times New Roman"/>
          <w:b/>
          <w:sz w:val="32"/>
          <w:szCs w:val="22"/>
        </w:rPr>
      </w:pPr>
      <w:bookmarkStart w:id="13" w:name="_Toc1179"/>
      <w:bookmarkStart w:id="14" w:name="_Toc71483177"/>
      <w:r>
        <w:rPr>
          <w:rFonts w:hint="eastAsia" w:ascii="Arial" w:hAnsi="Arial" w:eastAsia="楷体_GB2312" w:cs="Times New Roman"/>
          <w:b/>
          <w:sz w:val="32"/>
          <w:szCs w:val="22"/>
        </w:rPr>
        <w:t>1</w:t>
      </w:r>
      <w:r>
        <w:rPr>
          <w:rFonts w:ascii="Arial" w:hAnsi="Arial" w:eastAsia="楷体_GB2312" w:cs="Times New Roman"/>
          <w:b/>
          <w:sz w:val="32"/>
          <w:szCs w:val="22"/>
        </w:rPr>
        <w:t>.1</w:t>
      </w:r>
      <w:r>
        <w:rPr>
          <w:rFonts w:hint="eastAsia" w:ascii="Arial" w:hAnsi="Arial" w:eastAsia="楷体_GB2312" w:cs="Times New Roman"/>
          <w:b/>
          <w:sz w:val="32"/>
          <w:szCs w:val="22"/>
        </w:rPr>
        <w:t>试验背景及目的</w:t>
      </w:r>
      <w:bookmarkEnd w:id="13"/>
      <w:bookmarkEnd w:id="14"/>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市政污泥产量巨大且难以处理处置。广州净水公司在广州市中心城区共拥有13座市政净水厂，污水处理总量达496万吨/日，相应的污泥产量超过3600吨/日（含水率80%计算）。为探索高效的污泥脱水关键技术，现开展生产性试验，利用多种市售药剂在污泥处理干化车间进行试验，遴选出合格的潜在的药剂，为污泥处理作技术储备。</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本试验要求申请人在污泥深度浓缩系统及污泥脱水干化系统1条完全独立生产线（包括但不仅限于整套工艺流程中的污泥调质系统、污泥脱水系统、低温干化系统和成品污泥贮存系统，以及各环节相配套的输送设备）投加相应药剂，能满足及适应原有污泥脱水干化系统及其配套设备，对污水（污水来源：生活污水、含初雨等）处理运行所产生的污泥进行脱水、干化处理，生产出符合要求的干化污泥。</w:t>
      </w:r>
    </w:p>
    <w:p>
      <w:pPr>
        <w:keepNext/>
        <w:keepLines/>
        <w:spacing w:line="360" w:lineRule="auto"/>
        <w:outlineLvl w:val="1"/>
        <w:rPr>
          <w:rFonts w:ascii="Arial" w:hAnsi="Arial" w:eastAsia="楷体_GB2312" w:cs="Times New Roman"/>
          <w:b/>
          <w:sz w:val="32"/>
          <w:szCs w:val="22"/>
        </w:rPr>
      </w:pPr>
      <w:bookmarkStart w:id="15" w:name="_Toc71483178"/>
      <w:bookmarkStart w:id="16" w:name="_Toc15675"/>
      <w:r>
        <w:rPr>
          <w:rFonts w:hint="eastAsia" w:ascii="Arial" w:hAnsi="Arial" w:eastAsia="楷体_GB2312" w:cs="Times New Roman"/>
          <w:b/>
          <w:sz w:val="32"/>
          <w:szCs w:val="22"/>
        </w:rPr>
        <w:t>1.2</w:t>
      </w:r>
      <w:bookmarkEnd w:id="15"/>
      <w:r>
        <w:rPr>
          <w:rFonts w:hint="eastAsia" w:ascii="Arial" w:hAnsi="Arial" w:eastAsia="楷体_GB2312" w:cs="Times New Roman"/>
          <w:b/>
          <w:sz w:val="32"/>
          <w:szCs w:val="22"/>
        </w:rPr>
        <w:t>工作分工</w:t>
      </w:r>
      <w:bookmarkEnd w:id="16"/>
    </w:p>
    <w:p>
      <w:pPr>
        <w:keepNext/>
        <w:keepLines/>
        <w:spacing w:line="360" w:lineRule="auto"/>
        <w:outlineLvl w:val="2"/>
        <w:rPr>
          <w:rFonts w:ascii="Times New Roman" w:hAnsi="Times New Roman" w:eastAsia="仿宋_GB2312" w:cs="Times New Roman"/>
          <w:b/>
          <w:sz w:val="32"/>
          <w:szCs w:val="22"/>
        </w:rPr>
      </w:pPr>
      <w:bookmarkStart w:id="17" w:name="_Toc29154"/>
      <w:r>
        <w:rPr>
          <w:rFonts w:hint="eastAsia" w:ascii="Times New Roman" w:hAnsi="Times New Roman" w:eastAsia="仿宋_GB2312" w:cs="Times New Roman"/>
          <w:b/>
          <w:sz w:val="32"/>
          <w:szCs w:val="22"/>
        </w:rPr>
        <w:t>1</w:t>
      </w:r>
      <w:r>
        <w:rPr>
          <w:rFonts w:ascii="Times New Roman" w:hAnsi="Times New Roman" w:eastAsia="仿宋_GB2312" w:cs="Times New Roman"/>
          <w:b/>
          <w:sz w:val="32"/>
          <w:szCs w:val="22"/>
        </w:rPr>
        <w:t>.2.1</w:t>
      </w:r>
      <w:r>
        <w:rPr>
          <w:rFonts w:hint="eastAsia" w:ascii="Times New Roman" w:hAnsi="Times New Roman" w:eastAsia="仿宋_GB2312" w:cs="Times New Roman"/>
          <w:b/>
          <w:sz w:val="32"/>
          <w:szCs w:val="22"/>
        </w:rPr>
        <w:t>广州净水公司</w:t>
      </w:r>
      <w:bookmarkEnd w:id="17"/>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负责除污泥深度浓缩系统外全生产线设备的操作（如申请人的操作人员无操作能力或资格的，可全权委托广州净水公司开展污泥深度浓缩系统设备操作工作），试验过程中按申请人要求提供过程中污泥样品用于药剂的调整；</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免费提供污泥样品（申请人需提供承诺函，保证仅供污泥调理试验用，不做其它用途，且不会以任何方式向外界公布或透露涉及到的数据，如有违反，须承担一切责任）。样品仅供参考，广州净水公司不保证样品具有代表性，对于试验期的泥质变化不承担任何责任；</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（3）考核准备期第一天，广州净水公司展示生产全流程，提供成品泥样品供申请人用于验证设备性能；</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（4）广州净水公司提供污泥深度浓缩系统操作运行规程（仅供申请人进行实际操作的参考，不能完全代替生产检验数据及要求）；</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（5）广州净水公司负责承担试验周期内水、电、样品检测费用。</w:t>
      </w:r>
    </w:p>
    <w:p>
      <w:pPr>
        <w:keepNext/>
        <w:keepLines/>
        <w:spacing w:line="360" w:lineRule="auto"/>
        <w:outlineLvl w:val="2"/>
        <w:rPr>
          <w:rFonts w:hint="eastAsia" w:ascii="仿宋_GB2312" w:hAnsi="仿宋_GB2312" w:eastAsia="仿宋_GB2312" w:cs="仿宋_GB2312"/>
          <w:b/>
          <w:sz w:val="32"/>
          <w:szCs w:val="22"/>
        </w:rPr>
      </w:pPr>
      <w:bookmarkStart w:id="18" w:name="_Toc13253"/>
      <w:r>
        <w:rPr>
          <w:rFonts w:hint="eastAsia" w:ascii="仿宋_GB2312" w:hAnsi="仿宋_GB2312" w:eastAsia="仿宋_GB2312" w:cs="仿宋_GB2312"/>
          <w:b/>
          <w:sz w:val="32"/>
          <w:szCs w:val="22"/>
        </w:rPr>
        <w:t>1.2.2申请人</w:t>
      </w:r>
      <w:bookmarkEnd w:id="18"/>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（1）自行提供试验所需的药剂（含运输、储存保管、投加使用等工作）；</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负责污泥深度浓缩系统的操作、现场清洁、试验结束后的深度清洗及复原等工作，配备满足试验生产需要的设备操作人员及管理人员（操作人员须按项目要求持证上岗，包括但不限于低压电工证等，如申请人的操作人员无操作能力或资格的，可全权委托广州净水公司开展污泥深度浓缩系统设备操作工作）并按国家、省、市及广州净水公司有关要求为设备、雇员购买保险；由申请人为设备购买保险，由广州净水公司配合提供相关资料（部分涉及保密范围的信息除外），保额不低于 1000 万元。若申请人因各种原因无法购买保险，广州净水公司公司可代为购买，所需费用由申请人承担，保额不低于1000万元。周期内出现设备损坏情况的，由申请人承担维修或更换责任。</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（3）因生产线设备由广州净水公司提供，申请人应承担试验周期内生产线设备的维修维护保养、耗材更换等的费用，提供200万元履约保证金。</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4）试验开始前需通过现场确认（可自带设备或利用现场设备对成品泥进行检测）污泥处理系统设备性能并签署《设备性能完好确认书》，试验结束后经广州净水公司检验确认后，双方共同签署《设备性能完好确认书》。</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5）申请人在试验期间应严格遵守国家规定的相关法律法规，遵守设备生产规章制度和防护措施及广州净水公司安全生产相关规章制度。若违反以上规定，由此造成的所有损失，均由申请人承担相关责任,且广州净水公司有权终止试验并提取全部履约保证金。</w:t>
      </w:r>
    </w:p>
    <w:p>
      <w:pPr>
        <w:keepNext/>
        <w:keepLines/>
        <w:spacing w:line="360" w:lineRule="auto"/>
        <w:outlineLvl w:val="1"/>
        <w:rPr>
          <w:rFonts w:ascii="Arial" w:hAnsi="Arial" w:eastAsia="楷体_GB2312" w:cs="Times New Roman"/>
          <w:b/>
          <w:sz w:val="32"/>
          <w:szCs w:val="22"/>
        </w:rPr>
      </w:pPr>
      <w:bookmarkStart w:id="19" w:name="_Toc7237"/>
      <w:bookmarkStart w:id="20" w:name="_Toc71483180"/>
      <w:r>
        <w:rPr>
          <w:rFonts w:hint="eastAsia" w:ascii="Arial" w:hAnsi="Arial" w:eastAsia="楷体_GB2312" w:cs="Times New Roman"/>
          <w:b/>
          <w:sz w:val="32"/>
          <w:szCs w:val="22"/>
        </w:rPr>
        <w:t>1.3试验地点</w:t>
      </w:r>
      <w:bookmarkEnd w:id="19"/>
      <w:bookmarkEnd w:id="20"/>
    </w:p>
    <w:p>
      <w:pPr>
        <w:spacing w:line="360" w:lineRule="auto"/>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试验地点位于西朗污水处理厂一期污泥干化车间，</w:t>
      </w:r>
      <w:r>
        <w:rPr>
          <w:rFonts w:ascii="仿宋_GB2312" w:hAnsi="仿宋_GB2312" w:eastAsia="仿宋_GB2312" w:cs="仿宋_GB2312"/>
          <w:sz w:val="32"/>
          <w:szCs w:val="32"/>
        </w:rPr>
        <w:t>试验涉及的相关设备及现场条件以现场实际情况为准。</w:t>
      </w:r>
    </w:p>
    <w:p>
      <w:pPr>
        <w:keepNext/>
        <w:keepLines/>
        <w:spacing w:line="360" w:lineRule="auto"/>
        <w:outlineLvl w:val="1"/>
        <w:rPr>
          <w:rFonts w:ascii="Arial" w:hAnsi="Arial" w:eastAsia="楷体_GB2312" w:cs="Times New Roman"/>
          <w:b/>
          <w:sz w:val="32"/>
          <w:szCs w:val="22"/>
        </w:rPr>
      </w:pPr>
      <w:bookmarkStart w:id="21" w:name="_Toc12091"/>
      <w:bookmarkStart w:id="22" w:name="_Toc71483181"/>
      <w:r>
        <w:rPr>
          <w:rFonts w:hint="eastAsia" w:ascii="Arial" w:hAnsi="Arial" w:eastAsia="楷体_GB2312" w:cs="Times New Roman"/>
          <w:b/>
          <w:sz w:val="32"/>
          <w:szCs w:val="22"/>
        </w:rPr>
        <w:t>1.4试验工艺流程</w:t>
      </w:r>
      <w:bookmarkEnd w:id="21"/>
      <w:bookmarkEnd w:id="22"/>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污泥处理系统主要由污泥深度浓缩系统、板框脱水系统、低温干化系统、压缩空气系统、气提式输送系统等组成。一期生产线剩余污泥经储泥池，通过污泥泵注入污泥调质罐，投加药剂调理，反应完全的污泥经由高、低压注泥泵压入板框压滤机脱水，板框出泥经由螺旋输送机进入下部干化机进行干化，干化后的污泥再由气体式输送系统装入料仓，之后外运。</w:t>
      </w:r>
    </w:p>
    <w:p>
      <w:pPr>
        <w:keepNext/>
        <w:keepLines/>
        <w:spacing w:line="360" w:lineRule="auto"/>
        <w:outlineLvl w:val="1"/>
        <w:rPr>
          <w:rFonts w:ascii="Arial" w:hAnsi="Arial" w:eastAsia="楷体_GB2312" w:cs="Times New Roman"/>
          <w:b/>
          <w:sz w:val="32"/>
          <w:szCs w:val="22"/>
        </w:rPr>
      </w:pPr>
      <w:bookmarkStart w:id="23" w:name="_Toc71483182"/>
      <w:bookmarkStart w:id="24" w:name="_Toc19497"/>
      <w:r>
        <w:rPr>
          <w:rFonts w:hint="eastAsia" w:ascii="Arial" w:hAnsi="Arial" w:eastAsia="楷体_GB2312" w:cs="Times New Roman"/>
          <w:b/>
          <w:sz w:val="32"/>
          <w:szCs w:val="22"/>
        </w:rPr>
        <w:t>1.5污泥深度浓缩系统的主要设备</w:t>
      </w:r>
      <w:bookmarkEnd w:id="23"/>
      <w:r>
        <w:rPr>
          <w:rFonts w:hint="eastAsia" w:ascii="Arial" w:hAnsi="Arial" w:eastAsia="楷体_GB2312" w:cs="Times New Roman"/>
          <w:b/>
          <w:sz w:val="32"/>
          <w:szCs w:val="22"/>
        </w:rPr>
        <w:t>及主要指标</w:t>
      </w:r>
      <w:bookmarkEnd w:id="24"/>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浓缩反应罐，搅拌器，药剂投加罐，隔膜计量药泵。</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本项目浓缩反应罐只有2个药剂入口，2#、3#药剂投加罐共用一台2000L/h隔膜计量药泵，4#、5#药剂投加罐共用一台2000L/h隔膜计量药泵。</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其中：</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（1）加药管道材质为PVC，加药泵为隔膜计量泵，可耐酸碱，具体请参照产品型号。</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（2）调理罐内搅拌机电机功率为22KW，转数1440r/min，配减速机BLD5-87-22，桨叶式三层，桨叶直径3.7m，搅拌轴直径100mm，搅拌叶宽100mm。不具备调频功能。</w:t>
      </w:r>
    </w:p>
    <w:p>
      <w:pPr>
        <w:keepNext/>
        <w:keepLines/>
        <w:spacing w:line="360" w:lineRule="auto"/>
        <w:outlineLvl w:val="1"/>
        <w:rPr>
          <w:rFonts w:ascii="Arial" w:hAnsi="Arial" w:eastAsia="楷体_GB2312" w:cs="Times New Roman"/>
          <w:b/>
          <w:sz w:val="32"/>
          <w:szCs w:val="22"/>
        </w:rPr>
      </w:pPr>
      <w:bookmarkStart w:id="25" w:name="_Toc604"/>
      <w:r>
        <w:rPr>
          <w:rFonts w:hint="eastAsia" w:ascii="Arial" w:hAnsi="Arial" w:eastAsia="楷体_GB2312" w:cs="Times New Roman"/>
          <w:b/>
          <w:sz w:val="32"/>
          <w:szCs w:val="22"/>
        </w:rPr>
        <w:t>1.6关于试验过程中取样问题</w:t>
      </w:r>
      <w:bookmarkEnd w:id="25"/>
    </w:p>
    <w:p>
      <w:pPr>
        <w:spacing w:line="360" w:lineRule="auto"/>
        <w:ind w:firstLine="640" w:firstLineChars="200"/>
        <w:rPr>
          <w:rFonts w:hint="eastAsia" w:ascii="等线" w:hAnsi="等线" w:eastAsia="仿宋_GB2312" w:cs="Times New Roman"/>
          <w:sz w:val="32"/>
          <w:szCs w:val="22"/>
        </w:rPr>
      </w:pPr>
      <w:r>
        <w:rPr>
          <w:rFonts w:hint="eastAsia" w:ascii="仿宋_GB2312" w:hAnsi="仿宋_GB2312" w:eastAsia="仿宋_GB2312" w:cs="仿宋_GB2312"/>
          <w:sz w:val="32"/>
          <w:szCs w:val="22"/>
        </w:rPr>
        <w:t>公开征集及试验期间，申请人在预约时间内，可携带取样承诺函及相关必要设备直接前往西朗净水厂进行取样工作，单一单位在一个周期内取样次数不得超过5次，每日取样不超过1次，单次取样不超过10L，总取样数量不超过50L。</w:t>
      </w:r>
    </w:p>
    <w:p>
      <w:pPr>
        <w:widowControl/>
        <w:sectPr>
          <w:footerReference r:id="rId7" w:type="default"/>
          <w:pgSz w:w="11906" w:h="16838"/>
          <w:pgMar w:top="1440" w:right="1800" w:bottom="1440" w:left="1800" w:header="851" w:footer="992" w:gutter="0"/>
          <w:pgNumType w:start="1"/>
          <w:cols w:space="425" w:num="1"/>
          <w:docGrid w:type="lines" w:linePitch="312" w:charSpace="0"/>
        </w:sectPr>
      </w:pPr>
      <w:bookmarkStart w:id="26" w:name="_Toc71483186"/>
    </w:p>
    <w:p>
      <w:pPr>
        <w:keepNext/>
        <w:keepLines/>
        <w:spacing w:line="360" w:lineRule="auto"/>
        <w:outlineLvl w:val="0"/>
        <w:rPr>
          <w:rFonts w:ascii="Times New Roman" w:hAnsi="Times New Roman" w:eastAsia="黑体" w:cs="Times New Roman"/>
          <w:b/>
          <w:kern w:val="44"/>
          <w:sz w:val="32"/>
          <w:szCs w:val="22"/>
        </w:rPr>
      </w:pPr>
      <w:bookmarkStart w:id="27" w:name="_Toc19837"/>
      <w:r>
        <w:rPr>
          <w:rFonts w:hint="eastAsia" w:ascii="Times New Roman" w:hAnsi="Times New Roman" w:eastAsia="黑体" w:cs="Times New Roman"/>
          <w:b/>
          <w:kern w:val="44"/>
          <w:sz w:val="32"/>
          <w:szCs w:val="22"/>
        </w:rPr>
        <w:t>二、试验流程安排</w:t>
      </w:r>
      <w:bookmarkEnd w:id="26"/>
      <w:bookmarkEnd w:id="27"/>
    </w:p>
    <w:p>
      <w:pPr>
        <w:spacing w:line="360" w:lineRule="auto"/>
        <w:jc w:val="center"/>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表2-1 试验流程安排表</w:t>
      </w:r>
    </w:p>
    <w:tbl>
      <w:tblPr>
        <w:tblStyle w:val="16"/>
        <w:tblW w:w="138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4253"/>
        <w:gridCol w:w="3543"/>
        <w:gridCol w:w="4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jc w:val="cente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工作安排</w:t>
            </w:r>
          </w:p>
        </w:tc>
        <w:tc>
          <w:tcPr>
            <w:tcW w:w="4253" w:type="dxa"/>
          </w:tcPr>
          <w:p>
            <w:pPr>
              <w:jc w:val="cente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工作内容</w:t>
            </w:r>
          </w:p>
        </w:tc>
        <w:tc>
          <w:tcPr>
            <w:tcW w:w="3543" w:type="dxa"/>
          </w:tcPr>
          <w:p>
            <w:pPr>
              <w:jc w:val="cente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目的</w:t>
            </w:r>
          </w:p>
        </w:tc>
        <w:tc>
          <w:tcPr>
            <w:tcW w:w="4820" w:type="dxa"/>
          </w:tcPr>
          <w:p>
            <w:pPr>
              <w:jc w:val="cente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7" w:type="dxa"/>
            <w:gridSpan w:val="4"/>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试验前工作流程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摇珠后</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广州净水公司发出考核通知书</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通知申请人进行资料准备及提交工作</w:t>
            </w:r>
          </w:p>
        </w:tc>
        <w:tc>
          <w:tcPr>
            <w:tcW w:w="4820" w:type="dxa"/>
          </w:tcPr>
          <w:p>
            <w:pPr>
              <w:rPr>
                <w:rFonts w:hint="eastAsia" w:ascii="仿宋_GB2312" w:hAnsi="仿宋_GB2312" w:eastAsia="仿宋_GB2312" w:cs="仿宋_GB2312"/>
                <w:sz w:val="24"/>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15日内</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申请人提供资料</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申请人资格验证</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延期未交的，视为放弃试验资格。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确认资料</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广州净水公司确认资料</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确认申请人符合入场条件</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资料不符合要求的，视为放弃试验资格。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7" w:type="dxa"/>
            <w:gridSpan w:val="4"/>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考核准备期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第1日</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广州净水公司展示生产流程，申请人自带设备对成品泥进行检测，验证设备性能，双方签订</w:t>
            </w:r>
            <w:r>
              <w:rPr>
                <w:rFonts w:hint="eastAsia" w:ascii="仿宋_GB2312" w:hAnsi="仿宋_GB2312" w:eastAsia="仿宋_GB2312" w:cs="仿宋_GB2312"/>
                <w:kern w:val="0"/>
                <w:sz w:val="24"/>
              </w:rPr>
              <w:t>《设备性能完好确认书》</w:t>
            </w:r>
            <w:r>
              <w:rPr>
                <w:rFonts w:hint="eastAsia" w:ascii="仿宋_GB2312" w:hAnsi="仿宋_GB2312" w:eastAsia="仿宋_GB2312" w:cs="仿宋_GB2312"/>
                <w:sz w:val="24"/>
                <w:szCs w:val="22"/>
              </w:rPr>
              <w:t>。</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申请人了解工艺流程，确认设备性能。</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拒绝签署</w:t>
            </w:r>
            <w:r>
              <w:rPr>
                <w:rFonts w:hint="eastAsia" w:ascii="仿宋_GB2312" w:hAnsi="仿宋_GB2312" w:eastAsia="仿宋_GB2312" w:cs="仿宋_GB2312"/>
                <w:kern w:val="0"/>
                <w:sz w:val="24"/>
              </w:rPr>
              <w:t>《设备性能完好确认书》的，视为放弃试验资格。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第2-7日</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申请人熟悉现场，通过试验调整药剂配方，广州进水公司根据申请人要求提供污泥样品，本阶段不做考核。</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筛选出一种或多种满足要求的药剂。</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因申请人原因造成设备出现故障且在考核准备期内未能修复的，试验周期提前结束，试验失败；</w:t>
            </w:r>
          </w:p>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申请人可随时申请跳过准备期，于下一个自然日进入正式考核期。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7" w:type="dxa"/>
            <w:gridSpan w:val="4"/>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正式考核期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第8-12日</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正式开启5个自然日满负荷运行考核，由广州净水公司委托的检测单位负责检测考核工作。申请人达到考核期要求，考核通过。</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验证药剂是否稳定、高质量地满足生产条件</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若申请人在此期间被判断为不通过，需立即终止试验，试验周期提前结束，试验药剂厂商试验失败。申请人应无条件接受广州净水公司对设备的操作。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7" w:type="dxa"/>
            <w:gridSpan w:val="4"/>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设备恢复及验证期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考核期后</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广州净水公司对设备进行性能验证，经验证设备性能完好后，双方签署《设备性能完好确认书》，广州净水公司于30个自然日内无息返还履约保证金。</w:t>
            </w:r>
          </w:p>
        </w:tc>
        <w:tc>
          <w:tcPr>
            <w:tcW w:w="3543" w:type="dxa"/>
          </w:tcPr>
          <w:p>
            <w:pPr>
              <w:rPr>
                <w:rFonts w:hint="eastAsia" w:ascii="仿宋_GB2312" w:hAnsi="仿宋_GB2312" w:eastAsia="仿宋_GB2312" w:cs="仿宋_GB2312"/>
                <w:sz w:val="24"/>
                <w:szCs w:val="22"/>
              </w:rPr>
            </w:pPr>
          </w:p>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验证设备性能是否完好。</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申请人应承担设备恢复及验证期内设备的维护维修及耗材更换费用，直至双方签署《设备性能完好确认书》。</w:t>
            </w:r>
          </w:p>
        </w:tc>
      </w:tr>
    </w:tbl>
    <w:p>
      <w:pPr>
        <w:sectPr>
          <w:pgSz w:w="16838" w:h="11906" w:orient="landscape"/>
          <w:pgMar w:top="1800" w:right="1440" w:bottom="1800" w:left="1440" w:header="851" w:footer="992" w:gutter="0"/>
          <w:cols w:space="425" w:num="1"/>
          <w:docGrid w:type="lines" w:linePitch="435" w:charSpace="0"/>
        </w:sectPr>
      </w:pPr>
    </w:p>
    <w:p>
      <w:pPr>
        <w:keepNext/>
        <w:keepLines/>
        <w:spacing w:line="360" w:lineRule="auto"/>
        <w:outlineLvl w:val="1"/>
        <w:rPr>
          <w:rFonts w:ascii="Arial" w:hAnsi="Arial" w:eastAsia="楷体_GB2312" w:cs="Times New Roman"/>
          <w:b/>
          <w:sz w:val="32"/>
          <w:szCs w:val="22"/>
        </w:rPr>
      </w:pPr>
      <w:bookmarkStart w:id="28" w:name="_Toc9442"/>
      <w:bookmarkStart w:id="29" w:name="_Toc71483187"/>
      <w:r>
        <w:rPr>
          <w:rFonts w:hint="eastAsia" w:ascii="Arial" w:hAnsi="Arial" w:eastAsia="楷体_GB2312" w:cs="Times New Roman"/>
          <w:b/>
          <w:sz w:val="32"/>
          <w:szCs w:val="22"/>
        </w:rPr>
        <w:t>2.1试验前工作流程</w:t>
      </w:r>
      <w:bookmarkEnd w:id="28"/>
      <w:bookmarkEnd w:id="29"/>
    </w:p>
    <w:p>
      <w:pPr>
        <w:spacing w:line="360" w:lineRule="auto"/>
        <w:ind w:firstLine="640" w:firstLineChars="200"/>
        <w:rPr>
          <w:rFonts w:hint="eastAsia" w:ascii="仿宋_GB2312" w:hAnsi="等线" w:eastAsia="仿宋_GB2312" w:cs="Times New Roman"/>
          <w:sz w:val="32"/>
          <w:szCs w:val="22"/>
        </w:rPr>
      </w:pPr>
      <w:r>
        <w:rPr>
          <w:rFonts w:hint="eastAsia" w:ascii="仿宋_GB2312" w:hAnsi="等线" w:eastAsia="仿宋_GB2312" w:cs="Times New Roman"/>
          <w:sz w:val="32"/>
          <w:szCs w:val="22"/>
        </w:rPr>
        <w:t>本次征集时间为3</w:t>
      </w:r>
      <w:r>
        <w:rPr>
          <w:rFonts w:ascii="仿宋_GB2312" w:hAnsi="等线" w:eastAsia="仿宋_GB2312" w:cs="Times New Roman"/>
          <w:sz w:val="32"/>
          <w:szCs w:val="22"/>
        </w:rPr>
        <w:t>0</w:t>
      </w:r>
      <w:r>
        <w:rPr>
          <w:rFonts w:hint="eastAsia" w:ascii="仿宋_GB2312" w:hAnsi="等线" w:eastAsia="仿宋_GB2312" w:cs="Times New Roman"/>
          <w:sz w:val="32"/>
          <w:szCs w:val="22"/>
        </w:rPr>
        <w:t>个自然日，申请人公示完成后，采取摇珠的方式确定试验顺序，广州净水公司依照摇珠顺序及试验进程依次向试验申请人发出考核通知书。申请人应于收到通知书后</w:t>
      </w:r>
      <w:r>
        <w:rPr>
          <w:rFonts w:ascii="仿宋_GB2312" w:hAnsi="等线" w:eastAsia="仿宋_GB2312" w:cs="Times New Roman"/>
          <w:sz w:val="32"/>
          <w:szCs w:val="22"/>
        </w:rPr>
        <w:t>15日内</w:t>
      </w:r>
      <w:r>
        <w:rPr>
          <w:rFonts w:hint="eastAsia" w:ascii="仿宋_GB2312" w:hAnsi="等线" w:eastAsia="仿宋_GB2312" w:cs="Times New Roman"/>
          <w:sz w:val="32"/>
          <w:szCs w:val="22"/>
        </w:rPr>
        <w:t>，向广州净水公司提供</w:t>
      </w:r>
      <w:r>
        <w:rPr>
          <w:rFonts w:ascii="仿宋_GB2312" w:hAnsi="等线" w:eastAsia="仿宋_GB2312" w:cs="Times New Roman"/>
          <w:sz w:val="32"/>
          <w:szCs w:val="22"/>
        </w:rPr>
        <w:t>200万元履约保证金、保险合同复印件、《危险品经营许可证》及有效的易制毒备案证明（如药剂含有国家规定的危险品或剧毒品的）</w:t>
      </w:r>
      <w:r>
        <w:rPr>
          <w:rFonts w:hint="eastAsia" w:ascii="仿宋_GB2312" w:hAnsi="等线" w:eastAsia="仿宋_GB2312" w:cs="Times New Roman"/>
          <w:sz w:val="32"/>
          <w:szCs w:val="22"/>
        </w:rPr>
        <w:t>、风险方案</w:t>
      </w:r>
      <w:r>
        <w:rPr>
          <w:rFonts w:ascii="仿宋_GB2312" w:hAnsi="等线" w:eastAsia="仿宋_GB2312" w:cs="Times New Roman"/>
          <w:sz w:val="32"/>
          <w:szCs w:val="22"/>
        </w:rPr>
        <w:t>等文件，否则视为退出试验。</w:t>
      </w:r>
    </w:p>
    <w:p>
      <w:pPr>
        <w:spacing w:line="360" w:lineRule="auto"/>
        <w:ind w:firstLine="640" w:firstLineChars="200"/>
        <w:rPr>
          <w:rFonts w:hint="eastAsia" w:ascii="仿宋_GB2312" w:hAnsi="等线" w:eastAsia="仿宋_GB2312" w:cs="Times New Roman"/>
          <w:sz w:val="32"/>
          <w:szCs w:val="22"/>
        </w:rPr>
      </w:pPr>
      <w:r>
        <w:rPr>
          <w:rFonts w:hint="eastAsia" w:ascii="仿宋_GB2312" w:hAnsi="等线" w:eastAsia="仿宋_GB2312" w:cs="Times New Roman"/>
          <w:sz w:val="32"/>
          <w:szCs w:val="22"/>
        </w:rPr>
        <w:t>广州净水公司确认上述材料后</w:t>
      </w:r>
      <w:r>
        <w:rPr>
          <w:rFonts w:hint="eastAsia" w:ascii="仿宋_GB2312" w:hAnsi="仿宋_GB2312" w:eastAsia="仿宋_GB2312" w:cs="仿宋_GB2312"/>
          <w:sz w:val="32"/>
          <w:szCs w:val="32"/>
        </w:rPr>
        <w:t>，</w:t>
      </w:r>
      <w:r>
        <w:rPr>
          <w:rFonts w:hint="eastAsia" w:ascii="仿宋_GB2312" w:hAnsi="等线" w:eastAsia="仿宋_GB2312" w:cs="Times New Roman"/>
          <w:sz w:val="32"/>
          <w:szCs w:val="22"/>
        </w:rPr>
        <w:t>向申请人发出入场通知书，申请人未按照入场通知书确定的时间进场的，视为申请人自愿退出试验，本试验提前终止。</w:t>
      </w:r>
    </w:p>
    <w:p>
      <w:pPr>
        <w:keepNext/>
        <w:keepLines/>
        <w:spacing w:line="360" w:lineRule="auto"/>
        <w:outlineLvl w:val="1"/>
        <w:rPr>
          <w:rFonts w:ascii="Arial" w:hAnsi="Arial" w:eastAsia="楷体_GB2312" w:cs="Times New Roman"/>
          <w:b/>
          <w:sz w:val="32"/>
          <w:szCs w:val="22"/>
        </w:rPr>
      </w:pPr>
      <w:bookmarkStart w:id="30" w:name="_Toc71483188"/>
      <w:bookmarkStart w:id="31" w:name="_Toc11912"/>
      <w:r>
        <w:rPr>
          <w:rFonts w:hint="eastAsia" w:ascii="Arial" w:hAnsi="Arial" w:eastAsia="楷体_GB2312" w:cs="Times New Roman"/>
          <w:b/>
          <w:sz w:val="32"/>
          <w:szCs w:val="22"/>
        </w:rPr>
        <w:t>2.2试验周期</w:t>
      </w:r>
      <w:bookmarkEnd w:id="30"/>
      <w:bookmarkEnd w:id="31"/>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单个申请人试验周期为12个自然日，分7天考核准备期与5天正式考核期，考核准备期旨在筛选出一种或多种满足生产要求的药剂，正式考核期旨在通过120小时满负荷运行对筛选出的药剂进行验证。两阶段均在西朗公司一期干化车间进行。试验周期内，申请人自愿退出试验的，可以书面形式向广州净水公司提出退出申请，经广州净水公司同意并签署《设备性能完好确认书》后，本试验提前终止。</w:t>
      </w:r>
    </w:p>
    <w:p>
      <w:pPr>
        <w:keepNext/>
        <w:keepLines/>
        <w:spacing w:line="360" w:lineRule="auto"/>
        <w:outlineLvl w:val="2"/>
        <w:rPr>
          <w:rFonts w:hint="eastAsia" w:ascii="仿宋_GB2312" w:hAnsi="仿宋_GB2312" w:eastAsia="仿宋_GB2312" w:cs="仿宋_GB2312"/>
          <w:b/>
          <w:sz w:val="32"/>
          <w:szCs w:val="22"/>
        </w:rPr>
      </w:pPr>
      <w:bookmarkStart w:id="32" w:name="_Toc71483189"/>
      <w:bookmarkStart w:id="33" w:name="_Toc29574"/>
      <w:r>
        <w:rPr>
          <w:rFonts w:hint="eastAsia" w:ascii="仿宋_GB2312" w:hAnsi="仿宋_GB2312" w:eastAsia="仿宋_GB2312" w:cs="仿宋_GB2312"/>
          <w:b/>
          <w:sz w:val="32"/>
          <w:szCs w:val="22"/>
        </w:rPr>
        <w:t>2.2.1考核准备期</w:t>
      </w:r>
      <w:bookmarkEnd w:id="32"/>
      <w:bookmarkEnd w:id="33"/>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考核准备期第1天由申请人现场确认污泥处理系统设备性能后，双方签署《设备性能完好确认书》，申请人未签署的，视为申请人自愿退出试验，本试验提前终止。</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考核准备期第2-7天内，申请人熟悉现场状况，调整药剂配方，通过试验筛选出一种或多种满足要求的药剂，若因申请人原因造成设备出现故障且在考核准备期内未能修复的，本试验提前终止。</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考核准备期内，申请人可随时申请跳过准备期，于下一个自然日进入正式考核期。</w:t>
      </w:r>
    </w:p>
    <w:p>
      <w:pPr>
        <w:keepNext/>
        <w:keepLines/>
        <w:spacing w:line="360" w:lineRule="auto"/>
        <w:outlineLvl w:val="2"/>
        <w:rPr>
          <w:rFonts w:hint="eastAsia" w:ascii="仿宋_GB2312" w:hAnsi="仿宋_GB2312" w:eastAsia="仿宋_GB2312" w:cs="仿宋_GB2312"/>
          <w:b/>
          <w:sz w:val="32"/>
          <w:szCs w:val="22"/>
        </w:rPr>
      </w:pPr>
      <w:bookmarkStart w:id="34" w:name="_Toc2669"/>
      <w:bookmarkStart w:id="35" w:name="_Toc71483190"/>
      <w:r>
        <w:rPr>
          <w:rFonts w:hint="eastAsia" w:ascii="仿宋_GB2312" w:hAnsi="仿宋_GB2312" w:eastAsia="仿宋_GB2312" w:cs="仿宋_GB2312"/>
          <w:b/>
          <w:sz w:val="32"/>
          <w:szCs w:val="22"/>
        </w:rPr>
        <w:t>2.2.2正式考核期</w:t>
      </w:r>
      <w:bookmarkEnd w:id="34"/>
      <w:bookmarkEnd w:id="35"/>
    </w:p>
    <w:p>
      <w:pPr>
        <w:spacing w:line="360" w:lineRule="auto"/>
        <w:ind w:firstLine="640" w:firstLineChars="200"/>
        <w:rPr>
          <w:rFonts w:hint="eastAsia" w:ascii="等线" w:hAnsi="等线" w:eastAsia="仿宋_GB2312" w:cs="Times New Roman"/>
          <w:sz w:val="32"/>
          <w:szCs w:val="22"/>
        </w:rPr>
      </w:pPr>
      <w:r>
        <w:rPr>
          <w:rFonts w:hint="eastAsia" w:ascii="仿宋_GB2312" w:hAnsi="仿宋_GB2312" w:eastAsia="仿宋_GB2312" w:cs="仿宋_GB2312"/>
          <w:sz w:val="32"/>
          <w:szCs w:val="22"/>
        </w:rPr>
        <w:t>正式考核期共5个自然日，申请人需通过5个自然日满负荷运行，验证药剂是否稳定、高产量地满足生产条件。由广州净水公司委托的检测单位负责检测考核工作，申请人达到考核期要求，考核通过。申请人在此期间被判断为不通过，需立即终止试验，试验周期提前结束，试验药剂厂商试验失败。</w:t>
      </w:r>
    </w:p>
    <w:p>
      <w:pPr>
        <w:keepNext/>
        <w:keepLines/>
        <w:spacing w:line="360" w:lineRule="auto"/>
        <w:outlineLvl w:val="1"/>
        <w:rPr>
          <w:rFonts w:ascii="Arial" w:hAnsi="Arial" w:eastAsia="楷体_GB2312" w:cs="Times New Roman"/>
          <w:b/>
          <w:sz w:val="32"/>
          <w:szCs w:val="22"/>
        </w:rPr>
      </w:pPr>
      <w:bookmarkStart w:id="36" w:name="_Toc12546"/>
      <w:bookmarkStart w:id="37" w:name="_Toc71483191"/>
      <w:r>
        <w:rPr>
          <w:rFonts w:hint="eastAsia" w:ascii="Arial" w:hAnsi="Arial" w:eastAsia="楷体_GB2312" w:cs="Times New Roman"/>
          <w:b/>
          <w:sz w:val="32"/>
          <w:szCs w:val="22"/>
        </w:rPr>
        <w:t>2.3设备恢复期</w:t>
      </w:r>
      <w:bookmarkEnd w:id="36"/>
      <w:bookmarkEnd w:id="37"/>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正式考核期后，广州净水公司对设备进行性能验证，经验证设备性能完好后，双方签署《</w:t>
      </w:r>
      <w:r>
        <w:rPr>
          <w:rFonts w:hint="eastAsia" w:ascii="仿宋_GB2312" w:hAnsi="仿宋_GB2312" w:eastAsia="仿宋_GB2312" w:cs="仿宋_GB2312"/>
          <w:sz w:val="32"/>
          <w:szCs w:val="32"/>
        </w:rPr>
        <w:t>设备性能完好确认书</w:t>
      </w:r>
      <w:r>
        <w:rPr>
          <w:rFonts w:hint="eastAsia" w:ascii="仿宋_GB2312" w:hAnsi="仿宋_GB2312" w:eastAsia="仿宋_GB2312" w:cs="仿宋_GB2312"/>
          <w:sz w:val="32"/>
          <w:szCs w:val="22"/>
        </w:rPr>
        <w:t>》，广州净水公司于30个自然日内无息返还履约保证金。</w:t>
      </w:r>
    </w:p>
    <w:p>
      <w:pPr>
        <w:spacing w:after="120" w:line="360" w:lineRule="auto"/>
        <w:ind w:firstLine="640" w:firstLineChars="200"/>
        <w:rPr>
          <w:rFonts w:hint="eastAsia" w:ascii="等线" w:hAnsi="等线" w:eastAsia="仿宋_GB2312" w:cs="Times New Roman"/>
          <w:sz w:val="32"/>
          <w:szCs w:val="22"/>
        </w:rPr>
      </w:pPr>
      <w:r>
        <w:rPr>
          <w:rFonts w:hint="eastAsia" w:ascii="等线" w:hAnsi="等线" w:eastAsia="仿宋_GB2312" w:cs="Times New Roman"/>
          <w:sz w:val="32"/>
          <w:szCs w:val="22"/>
        </w:rPr>
        <w:t>申请人应承担设备恢复及验证期内设备的维护维修及耗材更换费用，直至双方签署《设备性能完好确认书》。</w:t>
      </w:r>
    </w:p>
    <w:p>
      <w:pPr>
        <w:keepNext/>
        <w:keepLines/>
        <w:spacing w:line="360" w:lineRule="auto"/>
        <w:outlineLvl w:val="1"/>
        <w:rPr>
          <w:rFonts w:ascii="Arial" w:hAnsi="Arial" w:eastAsia="楷体_GB2312" w:cs="Times New Roman"/>
          <w:b/>
          <w:sz w:val="32"/>
          <w:szCs w:val="22"/>
        </w:rPr>
      </w:pPr>
      <w:bookmarkStart w:id="38" w:name="_Toc71483192"/>
      <w:bookmarkStart w:id="39" w:name="_Toc25751"/>
      <w:r>
        <w:rPr>
          <w:rFonts w:hint="eastAsia" w:ascii="Arial" w:hAnsi="Arial" w:eastAsia="楷体_GB2312" w:cs="Times New Roman"/>
          <w:b/>
          <w:sz w:val="32"/>
          <w:szCs w:val="22"/>
        </w:rPr>
        <w:t>2.4特别注意</w:t>
      </w:r>
      <w:bookmarkEnd w:id="38"/>
      <w:bookmarkEnd w:id="39"/>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两个阶段均由申请人进行药剂的投加与污泥深度浓缩系统的运行工作，广州净水公司负责污泥深度浓缩系统外的设备运行工作。未经广州净水公司同意，申请人不得进入广州净水公司的生产场所。</w:t>
      </w:r>
    </w:p>
    <w:p>
      <w:pPr>
        <w:spacing w:line="360" w:lineRule="auto"/>
        <w:ind w:firstLine="640" w:firstLineChars="200"/>
        <w:rPr>
          <w:rFonts w:hint="eastAsia" w:ascii="仿宋_GB2312" w:hAnsi="等线" w:eastAsia="仿宋_GB2312" w:cs="Times New Roman"/>
          <w:sz w:val="32"/>
          <w:szCs w:val="22"/>
        </w:rPr>
      </w:pPr>
      <w:r>
        <w:rPr>
          <w:rFonts w:hint="eastAsia" w:ascii="仿宋_GB2312" w:hAnsi="仿宋_GB2312" w:eastAsia="仿宋_GB2312" w:cs="仿宋_GB2312"/>
          <w:sz w:val="32"/>
          <w:szCs w:val="22"/>
        </w:rPr>
        <w:t>申请人需根据操作规程进行操作，由广州净水公司工作人员进行监督，书面记录各项设备调节参数并由双方签字确认（签名仅用于试验记录需要，代表广州净水公司确认申请人进行了该项操作，不对操作结果负责），广州净水公司根据运行惯例对负责范围内的设备进行操作并书面记录各项调节参数，试验期间设备维护维修及耗材更换费用由申请人承担，若发生安全生产事故的，由申请人承担相关损失及责任，同时应按法律法规及时向安监部门和广州净水公司报告。</w:t>
      </w:r>
    </w:p>
    <w:p>
      <w:pPr>
        <w:ind w:firstLine="420" w:firstLineChars="200"/>
        <w:rPr>
          <w:rFonts w:ascii="仿宋_GB2312"/>
        </w:rPr>
        <w:sectPr>
          <w:pgSz w:w="11906" w:h="16838"/>
          <w:pgMar w:top="1440" w:right="1800" w:bottom="1440" w:left="1800" w:header="851" w:footer="992" w:gutter="0"/>
          <w:cols w:space="425" w:num="1"/>
          <w:docGrid w:type="lines" w:linePitch="312" w:charSpace="0"/>
        </w:sectPr>
      </w:pPr>
    </w:p>
    <w:p>
      <w:pPr>
        <w:keepNext/>
        <w:keepLines/>
        <w:spacing w:line="360" w:lineRule="auto"/>
        <w:outlineLvl w:val="0"/>
        <w:rPr>
          <w:rFonts w:ascii="Times New Roman" w:hAnsi="Times New Roman" w:eastAsia="黑体" w:cs="Times New Roman"/>
          <w:b/>
          <w:kern w:val="44"/>
          <w:sz w:val="32"/>
          <w:szCs w:val="22"/>
        </w:rPr>
      </w:pPr>
      <w:bookmarkStart w:id="40" w:name="_Toc22597"/>
      <w:bookmarkStart w:id="41" w:name="_Toc71483193"/>
      <w:r>
        <w:rPr>
          <w:rFonts w:hint="eastAsia" w:ascii="Times New Roman" w:hAnsi="Times New Roman" w:eastAsia="黑体" w:cs="Times New Roman"/>
          <w:b/>
          <w:kern w:val="44"/>
          <w:sz w:val="32"/>
          <w:szCs w:val="22"/>
        </w:rPr>
        <w:t>三、出泥指标及检测方案</w:t>
      </w:r>
      <w:bookmarkEnd w:id="40"/>
      <w:bookmarkEnd w:id="41"/>
    </w:p>
    <w:p>
      <w:pPr>
        <w:keepNext/>
        <w:keepLines/>
        <w:spacing w:line="360" w:lineRule="auto"/>
        <w:outlineLvl w:val="1"/>
        <w:rPr>
          <w:rFonts w:ascii="Arial" w:hAnsi="Arial" w:eastAsia="楷体_GB2312" w:cs="Times New Roman"/>
          <w:b/>
          <w:sz w:val="32"/>
          <w:szCs w:val="22"/>
        </w:rPr>
      </w:pPr>
      <w:bookmarkStart w:id="42" w:name="_Toc1189"/>
      <w:bookmarkStart w:id="43" w:name="_Toc71483194"/>
      <w:r>
        <w:rPr>
          <w:rFonts w:hint="eastAsia" w:ascii="Arial" w:hAnsi="Arial" w:eastAsia="楷体_GB2312" w:cs="Times New Roman"/>
          <w:b/>
          <w:sz w:val="32"/>
          <w:szCs w:val="22"/>
        </w:rPr>
        <w:t>3.1污泥出泥指标</w:t>
      </w:r>
      <w:bookmarkEnd w:id="42"/>
      <w:bookmarkEnd w:id="43"/>
    </w:p>
    <w:p>
      <w:pPr>
        <w:keepNext/>
        <w:keepLines/>
        <w:spacing w:line="360" w:lineRule="auto"/>
        <w:outlineLvl w:val="2"/>
        <w:rPr>
          <w:rFonts w:hint="eastAsia" w:ascii="仿宋_GB2312" w:hAnsi="仿宋_GB2312" w:eastAsia="仿宋_GB2312" w:cs="仿宋_GB2312"/>
          <w:b/>
          <w:sz w:val="32"/>
          <w:szCs w:val="22"/>
        </w:rPr>
      </w:pPr>
      <w:bookmarkStart w:id="44" w:name="_Toc71483195"/>
      <w:bookmarkStart w:id="45" w:name="_Toc4411"/>
      <w:r>
        <w:rPr>
          <w:rFonts w:hint="eastAsia" w:ascii="仿宋_GB2312" w:hAnsi="仿宋_GB2312" w:eastAsia="仿宋_GB2312" w:cs="仿宋_GB2312"/>
          <w:b/>
          <w:sz w:val="32"/>
          <w:szCs w:val="22"/>
        </w:rPr>
        <w:t>3.1.1考核指标</w:t>
      </w:r>
      <w:bookmarkEnd w:id="44"/>
      <w:bookmarkEnd w:id="45"/>
    </w:p>
    <w:p>
      <w:pPr>
        <w:adjustRightInd w:val="0"/>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考核指标为涉及考核结果判定的指标，共7项，分别为：进泥及出泥含水率、进泥及出泥重金属（铬、汞、镍、铅、砷、铜、锌、镉）、出泥pH、出泥氯离子浓度、出泥颗粒度、污泥（重量）减量比、5天产量；</w:t>
      </w:r>
    </w:p>
    <w:p>
      <w:pPr>
        <w:adjustRightInd w:val="0"/>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上述指标委托第三方检测单位进场采样并进行检测，考核结果以委托检测单位出具的检测报告为准；由于委托检测单位的检测周期较长，现场采用快速测定仪测定出泥含水率、出泥pH、供现场参考。</w:t>
      </w:r>
    </w:p>
    <w:p>
      <w:pPr>
        <w:keepNext/>
        <w:keepLines/>
        <w:spacing w:line="360" w:lineRule="auto"/>
        <w:outlineLvl w:val="2"/>
        <w:rPr>
          <w:rFonts w:hint="eastAsia" w:ascii="仿宋_GB2312" w:hAnsi="仿宋_GB2312" w:eastAsia="仿宋_GB2312" w:cs="仿宋_GB2312"/>
          <w:b/>
          <w:sz w:val="32"/>
          <w:szCs w:val="22"/>
        </w:rPr>
      </w:pPr>
      <w:bookmarkStart w:id="46" w:name="_Toc71483196"/>
      <w:bookmarkStart w:id="47" w:name="_Toc32396"/>
      <w:r>
        <w:rPr>
          <w:rFonts w:hint="eastAsia" w:ascii="仿宋_GB2312" w:hAnsi="仿宋_GB2312" w:eastAsia="仿宋_GB2312" w:cs="仿宋_GB2312"/>
          <w:b/>
          <w:sz w:val="32"/>
          <w:szCs w:val="22"/>
        </w:rPr>
        <w:t>3.1.2污泥出泥指标要求</w:t>
      </w:r>
      <w:bookmarkEnd w:id="46"/>
      <w:bookmarkEnd w:id="47"/>
    </w:p>
    <w:p>
      <w:pPr>
        <w:snapToGrid w:val="0"/>
        <w:spacing w:line="360" w:lineRule="auto"/>
        <w:ind w:firstLine="640" w:firstLineChars="200"/>
        <w:rPr>
          <w:rFonts w:hint="eastAsia" w:ascii="仿宋_GB2312" w:hAnsi="仿宋_GB2312" w:eastAsia="仿宋_GB2312" w:cs="仿宋_GB2312"/>
          <w:strike/>
          <w:sz w:val="32"/>
          <w:szCs w:val="22"/>
        </w:rPr>
      </w:pPr>
      <w:r>
        <w:rPr>
          <w:rFonts w:hint="eastAsia" w:ascii="仿宋_GB2312" w:hAnsi="仿宋_GB2312" w:eastAsia="仿宋_GB2312" w:cs="仿宋_GB2312"/>
          <w:sz w:val="32"/>
          <w:szCs w:val="22"/>
        </w:rPr>
        <w:t>污泥的出泥指标必须完全满足下述要求：</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（1）处理后的污泥含水率标准为30%≤含水率≤40%；</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（2）处理后的污泥pH值标准为5-10（含5及10）；</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（3）处理后污泥的重金属(铬、汞、镍、铅、砷、铜、锌和镉)含量不能高于处理前污泥重金属含量；</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（4）污泥（重量）减量比≥60%（以进泥含水率80%计）；</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（5）处理后的污泥氯离子浓度标准为≤0.55╳10</w:t>
      </w:r>
      <w:r>
        <w:rPr>
          <w:rFonts w:hint="eastAsia" w:ascii="仿宋_GB2312" w:hAnsi="仿宋_GB2312" w:eastAsia="仿宋_GB2312" w:cs="仿宋_GB2312"/>
          <w:sz w:val="32"/>
          <w:szCs w:val="22"/>
          <w:vertAlign w:val="superscript"/>
        </w:rPr>
        <w:t>4</w:t>
      </w:r>
      <w:r>
        <w:rPr>
          <w:rFonts w:hint="eastAsia" w:ascii="仿宋_GB2312" w:hAnsi="仿宋_GB2312" w:eastAsia="仿宋_GB2312" w:cs="仿宋_GB2312"/>
          <w:sz w:val="32"/>
          <w:szCs w:val="22"/>
        </w:rPr>
        <w:t xml:space="preserve"> mg/kg（以干污泥质量计）；</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（6）处理后的污泥颗粒度标准为采用筛孔直径为30mm的圆孔试验筛，筛上物质量比例＜20%，采用筛孔直径为50mm的圆孔试验筛，不应存在筛上物。</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（7）正式考核期120小时内污泥干基（含水率为0的污泥）产量不低于37.5吨，日均不低于7.5吨。</w:t>
      </w:r>
    </w:p>
    <w:p>
      <w:pPr>
        <w:snapToGrid w:val="0"/>
        <w:spacing w:line="360" w:lineRule="auto"/>
        <w:ind w:firstLine="640" w:firstLineChars="200"/>
        <w:rPr>
          <w:rFonts w:hint="eastAsia" w:ascii="仿宋_GB2312" w:hAnsi="等线" w:eastAsia="仿宋_GB2312" w:cs="Times New Roman"/>
          <w:sz w:val="32"/>
          <w:szCs w:val="22"/>
        </w:rPr>
      </w:pPr>
    </w:p>
    <w:p>
      <w:pPr>
        <w:snapToGrid w:val="0"/>
        <w:ind w:firstLine="420" w:firstLineChars="200"/>
        <w:rPr>
          <w:rFonts w:ascii="仿宋_GB2312"/>
        </w:rPr>
        <w:sectPr>
          <w:pgSz w:w="11906" w:h="16838"/>
          <w:pgMar w:top="1440" w:right="1800" w:bottom="1440" w:left="1800" w:header="851" w:footer="992" w:gutter="0"/>
          <w:cols w:space="425" w:num="1"/>
          <w:docGrid w:type="lines" w:linePitch="435" w:charSpace="0"/>
        </w:sectPr>
      </w:pPr>
    </w:p>
    <w:p>
      <w:pPr>
        <w:keepNext/>
        <w:keepLines/>
        <w:spacing w:line="360" w:lineRule="auto"/>
        <w:outlineLvl w:val="1"/>
        <w:rPr>
          <w:rFonts w:ascii="Arial" w:hAnsi="Arial" w:eastAsia="楷体_GB2312" w:cs="Times New Roman"/>
          <w:b/>
          <w:sz w:val="32"/>
          <w:szCs w:val="22"/>
        </w:rPr>
      </w:pPr>
      <w:bookmarkStart w:id="48" w:name="_Toc71483197"/>
      <w:bookmarkStart w:id="49" w:name="_Toc25808"/>
      <w:r>
        <w:rPr>
          <w:rFonts w:hint="eastAsia" w:ascii="Arial" w:hAnsi="Arial" w:eastAsia="楷体_GB2312" w:cs="Times New Roman"/>
          <w:b/>
          <w:sz w:val="32"/>
          <w:szCs w:val="22"/>
        </w:rPr>
        <w:t>3.2正式考核期试验取样位置及检测频率</w:t>
      </w:r>
      <w:bookmarkEnd w:id="48"/>
      <w:bookmarkEnd w:id="49"/>
    </w:p>
    <w:p>
      <w:pPr>
        <w:spacing w:line="360" w:lineRule="auto"/>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表3-1 </w:t>
      </w:r>
      <w:r>
        <w:rPr>
          <w:rFonts w:hint="eastAsia" w:ascii="仿宋_GB2312" w:hAnsi="仿宋_GB2312" w:eastAsia="仿宋_GB2312" w:cs="仿宋_GB2312"/>
          <w:bCs/>
          <w:sz w:val="32"/>
          <w:szCs w:val="32"/>
        </w:rPr>
        <w:t>正式考核期委托取样指标、取样位置及其检测频率</w:t>
      </w:r>
    </w:p>
    <w:tbl>
      <w:tblPr>
        <w:tblStyle w:val="15"/>
        <w:tblW w:w="13974" w:type="dxa"/>
        <w:jc w:val="center"/>
        <w:tblLayout w:type="fixed"/>
        <w:tblCellMar>
          <w:top w:w="0" w:type="dxa"/>
          <w:left w:w="108" w:type="dxa"/>
          <w:bottom w:w="0" w:type="dxa"/>
          <w:right w:w="108" w:type="dxa"/>
        </w:tblCellMar>
      </w:tblPr>
      <w:tblGrid>
        <w:gridCol w:w="934"/>
        <w:gridCol w:w="4306"/>
        <w:gridCol w:w="1704"/>
        <w:gridCol w:w="1701"/>
        <w:gridCol w:w="3511"/>
        <w:gridCol w:w="1818"/>
      </w:tblGrid>
      <w:tr>
        <w:tblPrEx>
          <w:tblCellMar>
            <w:top w:w="0" w:type="dxa"/>
            <w:left w:w="108" w:type="dxa"/>
            <w:bottom w:w="0" w:type="dxa"/>
            <w:right w:w="108" w:type="dxa"/>
          </w:tblCellMar>
        </w:tblPrEx>
        <w:trPr>
          <w:trHeight w:val="780" w:hRule="atLeast"/>
          <w:jc w:val="center"/>
        </w:trPr>
        <w:tc>
          <w:tcPr>
            <w:tcW w:w="9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　</w:t>
            </w:r>
          </w:p>
        </w:tc>
        <w:tc>
          <w:tcPr>
            <w:tcW w:w="43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检测项目</w:t>
            </w:r>
          </w:p>
        </w:tc>
        <w:tc>
          <w:tcPr>
            <w:tcW w:w="170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取样位置</w:t>
            </w:r>
          </w:p>
        </w:tc>
        <w:tc>
          <w:tcPr>
            <w:tcW w:w="170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检测周期内</w:t>
            </w:r>
          </w:p>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样品数量</w:t>
            </w:r>
          </w:p>
        </w:tc>
        <w:tc>
          <w:tcPr>
            <w:tcW w:w="351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检测频率</w:t>
            </w:r>
          </w:p>
        </w:tc>
        <w:tc>
          <w:tcPr>
            <w:tcW w:w="181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备注</w:t>
            </w:r>
          </w:p>
        </w:tc>
      </w:tr>
      <w:tr>
        <w:tblPrEx>
          <w:tblCellMar>
            <w:top w:w="0" w:type="dxa"/>
            <w:left w:w="108" w:type="dxa"/>
            <w:bottom w:w="0" w:type="dxa"/>
            <w:right w:w="108" w:type="dxa"/>
          </w:tblCellMar>
        </w:tblPrEx>
        <w:trPr>
          <w:trHeight w:val="231" w:hRule="atLeast"/>
          <w:jc w:val="center"/>
        </w:trPr>
        <w:tc>
          <w:tcPr>
            <w:tcW w:w="934"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进泥泥质</w:t>
            </w:r>
          </w:p>
        </w:tc>
        <w:tc>
          <w:tcPr>
            <w:tcW w:w="43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含水率（用于计算减量比）</w:t>
            </w:r>
          </w:p>
        </w:tc>
        <w:tc>
          <w:tcPr>
            <w:tcW w:w="1704"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进泥管取样口</w:t>
            </w:r>
          </w:p>
        </w:tc>
        <w:tc>
          <w:tcPr>
            <w:tcW w:w="1701"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取混合均匀后样品不少于1kg</w:t>
            </w:r>
          </w:p>
        </w:tc>
        <w:tc>
          <w:tcPr>
            <w:tcW w:w="3511" w:type="dxa"/>
            <w:tcBorders>
              <w:top w:val="single" w:color="auto" w:sz="4" w:space="0"/>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每调质批次送检一次</w:t>
            </w:r>
          </w:p>
        </w:tc>
        <w:tc>
          <w:tcPr>
            <w:tcW w:w="1818"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strike/>
                <w:kern w:val="0"/>
                <w:sz w:val="24"/>
                <w:szCs w:val="22"/>
                <w:highlight w:val="yellow"/>
              </w:rPr>
            </w:pPr>
          </w:p>
        </w:tc>
      </w:tr>
      <w:tr>
        <w:tblPrEx>
          <w:tblCellMar>
            <w:top w:w="0" w:type="dxa"/>
            <w:left w:w="108" w:type="dxa"/>
            <w:bottom w:w="0" w:type="dxa"/>
            <w:right w:w="108" w:type="dxa"/>
          </w:tblCellMar>
        </w:tblPrEx>
        <w:trPr>
          <w:trHeight w:val="654" w:hRule="atLeast"/>
          <w:jc w:val="center"/>
        </w:trPr>
        <w:tc>
          <w:tcPr>
            <w:tcW w:w="934" w:type="dxa"/>
            <w:vMerge w:val="continue"/>
            <w:tcBorders>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重金属</w:t>
            </w:r>
          </w:p>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（铬、汞、镍、铅、砷、铜、锌、镉）</w:t>
            </w:r>
          </w:p>
        </w:tc>
        <w:tc>
          <w:tcPr>
            <w:tcW w:w="1704" w:type="dxa"/>
            <w:vMerge w:val="continue"/>
            <w:tcBorders>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tcBorders>
              <w:top w:val="single" w:color="auto" w:sz="4" w:space="0"/>
              <w:left w:val="single" w:color="auto" w:sz="4" w:space="0"/>
              <w:bottom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取混合样每日送检一次</w:t>
            </w: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63" w:hRule="atLeast"/>
          <w:jc w:val="center"/>
        </w:trPr>
        <w:tc>
          <w:tcPr>
            <w:tcW w:w="934" w:type="dxa"/>
            <w:vMerge w:val="continue"/>
            <w:tcBorders>
              <w:left w:val="single" w:color="auto" w:sz="4" w:space="0"/>
              <w:bottom w:val="single" w:color="000000" w:sz="8" w:space="0"/>
              <w:right w:val="single" w:color="auto" w:sz="4"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single" w:color="auto" w:sz="4" w:space="0"/>
              <w:left w:val="single" w:color="auto" w:sz="4" w:space="0"/>
              <w:bottom w:val="single" w:color="auto"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密度（用于计算减量比）</w:t>
            </w:r>
          </w:p>
        </w:tc>
        <w:tc>
          <w:tcPr>
            <w:tcW w:w="1704" w:type="dxa"/>
            <w:vMerge w:val="continue"/>
            <w:tcBorders>
              <w:left w:val="single" w:color="auto" w:sz="4" w:space="0"/>
              <w:bottom w:val="single" w:color="000000" w:sz="8" w:space="0"/>
              <w:right w:val="single" w:color="auto" w:sz="4"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auto" w:sz="4" w:space="0"/>
              <w:bottom w:val="single" w:color="000000" w:sz="8" w:space="0"/>
              <w:right w:val="single" w:color="auto" w:sz="4"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tcBorders>
              <w:left w:val="single" w:color="auto" w:sz="4" w:space="0"/>
              <w:bottom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390" w:hRule="atLeast"/>
          <w:jc w:val="center"/>
        </w:trPr>
        <w:tc>
          <w:tcPr>
            <w:tcW w:w="934" w:type="dxa"/>
            <w:vMerge w:val="restart"/>
            <w:tcBorders>
              <w:top w:val="single" w:color="auto" w:sz="4" w:space="0"/>
              <w:left w:val="single" w:color="000000" w:sz="8"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最终出泥泥质</w:t>
            </w:r>
          </w:p>
        </w:tc>
        <w:tc>
          <w:tcPr>
            <w:tcW w:w="4306" w:type="dxa"/>
            <w:tcBorders>
              <w:top w:val="single" w:color="auto" w:sz="4" w:space="0"/>
              <w:left w:val="nil"/>
              <w:bottom w:val="single" w:color="auto" w:sz="8" w:space="0"/>
              <w:right w:val="single" w:color="auto"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含水率</w:t>
            </w:r>
          </w:p>
        </w:tc>
        <w:tc>
          <w:tcPr>
            <w:tcW w:w="1704" w:type="dxa"/>
            <w:vMerge w:val="restart"/>
            <w:tcBorders>
              <w:top w:val="single" w:color="auto" w:sz="4" w:space="0"/>
              <w:left w:val="nil"/>
              <w:bottom w:val="nil"/>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干料传输系统取样口</w:t>
            </w:r>
          </w:p>
        </w:tc>
        <w:tc>
          <w:tcPr>
            <w:tcW w:w="1701" w:type="dxa"/>
            <w:vMerge w:val="restart"/>
            <w:tcBorders>
              <w:top w:val="single" w:color="auto" w:sz="4" w:space="0"/>
              <w:left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取混合均匀后样品不少于1kg</w:t>
            </w:r>
          </w:p>
        </w:tc>
        <w:tc>
          <w:tcPr>
            <w:tcW w:w="351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每出泥批次送检一次</w:t>
            </w: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592" w:hRule="atLeast"/>
          <w:jc w:val="center"/>
        </w:trPr>
        <w:tc>
          <w:tcPr>
            <w:tcW w:w="934" w:type="dxa"/>
            <w:vMerge w:val="continue"/>
            <w:tcBorders>
              <w:left w:val="single" w:color="000000" w:sz="8"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nil"/>
              <w:left w:val="nil"/>
              <w:bottom w:val="single" w:color="000000" w:sz="8"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重金属</w:t>
            </w:r>
          </w:p>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（铬、汞、镍、铅、砷、铜、锌、镉）</w:t>
            </w:r>
          </w:p>
        </w:tc>
        <w:tc>
          <w:tcPr>
            <w:tcW w:w="1704" w:type="dxa"/>
            <w:vMerge w:val="continue"/>
            <w:tcBorders>
              <w:top w:val="nil"/>
              <w:left w:val="nil"/>
              <w:bottom w:val="nil"/>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取混合样每日送检一次</w:t>
            </w: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300" w:hRule="atLeast"/>
          <w:jc w:val="center"/>
        </w:trPr>
        <w:tc>
          <w:tcPr>
            <w:tcW w:w="934" w:type="dxa"/>
            <w:vMerge w:val="continue"/>
            <w:tcBorders>
              <w:left w:val="single" w:color="000000" w:sz="8"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nil"/>
              <w:left w:val="nil"/>
              <w:bottom w:val="single" w:color="000000" w:sz="8"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pH 值</w:t>
            </w:r>
          </w:p>
        </w:tc>
        <w:tc>
          <w:tcPr>
            <w:tcW w:w="1704" w:type="dxa"/>
            <w:vMerge w:val="continue"/>
            <w:tcBorders>
              <w:top w:val="nil"/>
              <w:left w:val="nil"/>
              <w:bottom w:val="nil"/>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每出泥批次送检一次</w:t>
            </w: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63" w:hRule="atLeast"/>
          <w:jc w:val="center"/>
        </w:trPr>
        <w:tc>
          <w:tcPr>
            <w:tcW w:w="934" w:type="dxa"/>
            <w:vMerge w:val="continue"/>
            <w:tcBorders>
              <w:left w:val="single" w:color="000000" w:sz="8"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nil"/>
              <w:left w:val="nil"/>
              <w:bottom w:val="single" w:color="000000" w:sz="8"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氯离子浓度</w:t>
            </w:r>
          </w:p>
        </w:tc>
        <w:tc>
          <w:tcPr>
            <w:tcW w:w="1704" w:type="dxa"/>
            <w:vMerge w:val="continue"/>
            <w:tcBorders>
              <w:top w:val="nil"/>
              <w:left w:val="nil"/>
              <w:bottom w:val="nil"/>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000000" w:sz="8" w:space="0"/>
              <w:bottom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1080" w:hRule="atLeast"/>
          <w:jc w:val="center"/>
        </w:trPr>
        <w:tc>
          <w:tcPr>
            <w:tcW w:w="934" w:type="dxa"/>
            <w:vMerge w:val="continue"/>
            <w:tcBorders>
              <w:left w:val="single" w:color="000000" w:sz="8"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nil"/>
              <w:left w:val="nil"/>
              <w:bottom w:val="single" w:color="auto" w:sz="4"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颗粒度</w:t>
            </w:r>
          </w:p>
        </w:tc>
        <w:tc>
          <w:tcPr>
            <w:tcW w:w="1704" w:type="dxa"/>
            <w:vMerge w:val="continue"/>
            <w:tcBorders>
              <w:top w:val="nil"/>
              <w:left w:val="nil"/>
              <w:bottom w:val="single" w:color="auto" w:sz="4"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tcBorders>
              <w:top w:val="nil"/>
              <w:left w:val="single" w:color="000000" w:sz="8" w:space="0"/>
              <w:bottom w:val="single" w:color="auto" w:sz="4"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取混合均匀后样品2~4kg</w:t>
            </w:r>
          </w:p>
        </w:tc>
        <w:tc>
          <w:tcPr>
            <w:tcW w:w="3511" w:type="dxa"/>
            <w:tcBorders>
              <w:top w:val="single" w:color="auto" w:sz="4" w:space="0"/>
              <w:left w:val="single" w:color="000000" w:sz="8"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每日送检一次</w:t>
            </w:r>
          </w:p>
        </w:tc>
        <w:tc>
          <w:tcPr>
            <w:tcW w:w="1818" w:type="dxa"/>
            <w:vMerge w:val="continue"/>
            <w:tcBorders>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1080" w:hRule="atLeast"/>
          <w:jc w:val="center"/>
        </w:trPr>
        <w:tc>
          <w:tcPr>
            <w:tcW w:w="934" w:type="dxa"/>
            <w:vMerge w:val="continue"/>
            <w:tcBorders>
              <w:left w:val="single" w:color="000000" w:sz="8" w:space="0"/>
              <w:bottom w:val="single" w:color="auto" w:sz="4"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single" w:color="auto" w:sz="4" w:space="0"/>
              <w:left w:val="nil"/>
              <w:bottom w:val="single" w:color="auto" w:sz="4"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污泥减量比</w:t>
            </w:r>
          </w:p>
        </w:tc>
        <w:tc>
          <w:tcPr>
            <w:tcW w:w="1704" w:type="dxa"/>
            <w:tcBorders>
              <w:top w:val="single" w:color="auto" w:sz="4" w:space="0"/>
              <w:left w:val="nil"/>
              <w:bottom w:val="single" w:color="auto" w:sz="4"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进泥流量计、地磅、及上述检测数据</w:t>
            </w:r>
          </w:p>
        </w:tc>
        <w:tc>
          <w:tcPr>
            <w:tcW w:w="1701" w:type="dxa"/>
            <w:tcBorders>
              <w:top w:val="single" w:color="auto" w:sz="4" w:space="0"/>
              <w:left w:val="single" w:color="000000" w:sz="8" w:space="0"/>
              <w:bottom w:val="single" w:color="auto" w:sz="4"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w:t>
            </w:r>
          </w:p>
        </w:tc>
        <w:tc>
          <w:tcPr>
            <w:tcW w:w="3511" w:type="dxa"/>
            <w:tcBorders>
              <w:top w:val="single" w:color="auto" w:sz="4" w:space="0"/>
              <w:left w:val="single" w:color="000000" w:sz="8"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w:t>
            </w:r>
          </w:p>
        </w:tc>
        <w:tc>
          <w:tcPr>
            <w:tcW w:w="1818" w:type="dxa"/>
            <w:tcBorders>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r>
    </w:tbl>
    <w:p>
      <w:pPr>
        <w:rPr>
          <w:rFonts w:hint="eastAsia" w:ascii="仿宋_GB2312" w:hAnsi="宋体" w:cs="宋体"/>
          <w:kern w:val="0"/>
          <w:sz w:val="24"/>
        </w:rPr>
        <w:sectPr>
          <w:pgSz w:w="16838" w:h="11906" w:orient="landscape"/>
          <w:pgMar w:top="1800" w:right="1440" w:bottom="1800" w:left="1440" w:header="851" w:footer="992" w:gutter="0"/>
          <w:cols w:space="425" w:num="1"/>
          <w:docGrid w:type="lines" w:linePitch="312" w:charSpace="0"/>
        </w:sectPr>
      </w:pPr>
    </w:p>
    <w:p>
      <w:pPr>
        <w:keepNext/>
        <w:keepLines/>
        <w:spacing w:line="360" w:lineRule="auto"/>
        <w:outlineLvl w:val="1"/>
        <w:rPr>
          <w:rFonts w:ascii="Arial" w:hAnsi="Arial" w:eastAsia="楷体_GB2312" w:cs="Times New Roman"/>
          <w:b/>
          <w:sz w:val="32"/>
          <w:szCs w:val="22"/>
        </w:rPr>
      </w:pPr>
      <w:bookmarkStart w:id="50" w:name="_Toc12560"/>
      <w:bookmarkStart w:id="51" w:name="_Toc71483198"/>
      <w:r>
        <w:rPr>
          <w:rFonts w:hint="eastAsia" w:ascii="Arial" w:hAnsi="Arial" w:eastAsia="楷体_GB2312" w:cs="Times New Roman"/>
          <w:b/>
          <w:sz w:val="32"/>
          <w:szCs w:val="22"/>
        </w:rPr>
        <w:t>3.3考核结果判定</w:t>
      </w:r>
      <w:bookmarkEnd w:id="50"/>
      <w:bookmarkEnd w:id="51"/>
    </w:p>
    <w:p>
      <w:pPr>
        <w:keepNext/>
        <w:keepLines/>
        <w:spacing w:line="360" w:lineRule="auto"/>
        <w:outlineLvl w:val="2"/>
        <w:rPr>
          <w:rFonts w:hint="eastAsia" w:ascii="仿宋_GB2312" w:hAnsi="仿宋_GB2312" w:eastAsia="仿宋_GB2312" w:cs="仿宋_GB2312"/>
          <w:b/>
          <w:sz w:val="32"/>
          <w:szCs w:val="22"/>
        </w:rPr>
      </w:pPr>
      <w:bookmarkStart w:id="52" w:name="_Toc29212"/>
      <w:bookmarkStart w:id="53" w:name="_Toc71483199"/>
      <w:r>
        <w:rPr>
          <w:rFonts w:hint="eastAsia" w:ascii="仿宋_GB2312" w:hAnsi="仿宋_GB2312" w:eastAsia="仿宋_GB2312" w:cs="仿宋_GB2312"/>
          <w:b/>
          <w:sz w:val="32"/>
          <w:szCs w:val="22"/>
        </w:rPr>
        <w:t>3.3.1考核要求介绍</w:t>
      </w:r>
      <w:bookmarkEnd w:id="52"/>
      <w:bookmarkEnd w:id="53"/>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（1）正式考核期产量要求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委托检测单位工作人员根据出泥地磅重量、出泥含水率，折算成正式考核期绝干基污泥量，共5天，要求5天内平均每日处理干基量≥设计干基量（7.5吨/天）</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于试验区域满负荷连续稳定运行5天，且日均产量不低于7.5吨绝干基（折合含水率为30%的污泥10.71吨，含水率为40%的污泥12.5吨），即5日总产量不低于37.5吨绝干基（折合含水率为30%的污泥53.55吨，含水率为40%的污泥62.55吨），该项目考核结果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（2）污泥含水率要求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每批次的进泥及干化出泥，委托检测单位取样人员在取样点采集一份样品（三个平行样，各约1kg），送检委托检测单位，（现场同步使用快速测定仪测定其含水率，供现场辅助参考。最终考核依据以委托检测单位检测报告为准）。检测及取样方法按照</w:t>
      </w:r>
      <w:r>
        <w:rPr>
          <w:rFonts w:hint="eastAsia" w:ascii="仿宋_GB2312" w:hAnsi="仿宋_GB2312" w:eastAsia="仿宋_GB2312" w:cs="仿宋_GB2312"/>
          <w:sz w:val="32"/>
          <w:szCs w:val="28"/>
        </w:rPr>
        <w:t>GB 24188、CJ/T 221-2005</w:t>
      </w:r>
      <w:r>
        <w:rPr>
          <w:rFonts w:hint="eastAsia" w:ascii="仿宋_GB2312" w:hAnsi="仿宋_GB2312" w:eastAsia="仿宋_GB2312" w:cs="仿宋_GB2312"/>
          <w:kern w:val="0"/>
          <w:sz w:val="32"/>
          <w:szCs w:val="28"/>
        </w:rPr>
        <w:t>规定之城市污泥 含水率的测定 重量法 进行检测。</w:t>
      </w:r>
    </w:p>
    <w:p>
      <w:pPr>
        <w:spacing w:line="360" w:lineRule="auto"/>
        <w:ind w:left="210" w:leftChars="100" w:firstLine="320" w:firstLineChars="1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考核要求：所有批次的干化处理后污泥含水率在 30%～40%之间(含30%、40%)，</w:t>
      </w:r>
      <w:r>
        <w:rPr>
          <w:rFonts w:hint="eastAsia" w:ascii="仿宋_GB2312" w:hAnsi="仿宋_GB2312" w:eastAsia="仿宋_GB2312" w:cs="仿宋_GB2312"/>
          <w:sz w:val="32"/>
          <w:szCs w:val="28"/>
        </w:rPr>
        <w:t>该项目考核结果</w:t>
      </w:r>
      <w:r>
        <w:rPr>
          <w:rFonts w:hint="eastAsia" w:ascii="仿宋_GB2312" w:hAnsi="仿宋_GB2312" w:eastAsia="仿宋_GB2312" w:cs="仿宋_GB2312"/>
          <w:kern w:val="0"/>
          <w:sz w:val="32"/>
          <w:szCs w:val="28"/>
        </w:rPr>
        <w:t>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（3）污泥重金属要求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每日，委托检测单位取样人员在取样点采集混合进泥样品一份（三个平行样，各不小于1kg）、混合出泥样品一份（三个平行样，各不小于1kg），送检委托检测单位。检测铬、汞、镍、铅、砷、铜、锌、镉8项指标，计算平均值，共5日。取样及检测方法按照</w:t>
      </w:r>
      <w:r>
        <w:rPr>
          <w:rFonts w:hint="eastAsia" w:ascii="仿宋_GB2312" w:hAnsi="仿宋_GB2312" w:eastAsia="仿宋_GB2312" w:cs="仿宋_GB2312"/>
          <w:sz w:val="32"/>
          <w:szCs w:val="28"/>
        </w:rPr>
        <w:t xml:space="preserve">GB 24188、CJ/T 221-2005规定之城市污泥 </w:t>
      </w:r>
      <w:r>
        <w:rPr>
          <w:rFonts w:hint="eastAsia" w:ascii="仿宋_GB2312" w:hAnsi="仿宋_GB2312" w:eastAsia="仿宋_GB2312" w:cs="仿宋_GB2312"/>
          <w:kern w:val="0"/>
          <w:sz w:val="32"/>
          <w:szCs w:val="28"/>
        </w:rPr>
        <w:t>铬及其化合物的测定、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总汞的测定、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镍及其化合物的测定、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铅及其化合物的测定、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砷及其化合物的测定、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铜及其化合物的测定、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锌及其化合物的测定、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镉及其化合物的测定方法进行检测。</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考核要求：所有批次的干化污泥重金属检测值均不高于进泥重金属，</w:t>
      </w:r>
      <w:r>
        <w:rPr>
          <w:rFonts w:hint="eastAsia" w:ascii="仿宋_GB2312" w:hAnsi="仿宋_GB2312" w:eastAsia="仿宋_GB2312" w:cs="仿宋_GB2312"/>
          <w:sz w:val="32"/>
          <w:szCs w:val="28"/>
        </w:rPr>
        <w:t>该项目考核结果</w:t>
      </w:r>
      <w:r>
        <w:rPr>
          <w:rFonts w:hint="eastAsia" w:ascii="仿宋_GB2312" w:hAnsi="仿宋_GB2312" w:eastAsia="仿宋_GB2312" w:cs="仿宋_GB2312"/>
          <w:kern w:val="0"/>
          <w:sz w:val="32"/>
          <w:szCs w:val="28"/>
        </w:rPr>
        <w:t>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（4）污泥pH值要求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每出泥批次，委托检测单位取样人员在取样点采集处理后的出泥样品一份（三个平行样，各不小于1kg），送检委托检测单位（现场同步使用pH试纸或pH计测定，供评估参考），考核依据以委托检测单位检测报告为准。取样及检测方法按照</w:t>
      </w:r>
      <w:r>
        <w:rPr>
          <w:rFonts w:hint="eastAsia" w:ascii="仿宋_GB2312" w:hAnsi="仿宋_GB2312" w:eastAsia="仿宋_GB2312" w:cs="仿宋_GB2312"/>
          <w:sz w:val="32"/>
          <w:szCs w:val="28"/>
        </w:rPr>
        <w:t>GB 24188、CJ/T 221-2005</w:t>
      </w:r>
      <w:r>
        <w:rPr>
          <w:rFonts w:hint="eastAsia" w:ascii="仿宋_GB2312" w:hAnsi="仿宋_GB2312" w:eastAsia="仿宋_GB2312" w:cs="仿宋_GB2312"/>
          <w:kern w:val="0"/>
          <w:sz w:val="32"/>
          <w:szCs w:val="28"/>
        </w:rPr>
        <w:t>规定之玻璃电极法进行检测。</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 xml:space="preserve">考核要求：所有批次的干化处理后污泥的 pH 值在5-10 </w:t>
      </w:r>
      <w:r>
        <w:rPr>
          <w:rFonts w:hint="eastAsia" w:ascii="仿宋_GB2312" w:hAnsi="仿宋_GB2312" w:eastAsia="仿宋_GB2312" w:cs="仿宋_GB2312"/>
          <w:sz w:val="32"/>
          <w:szCs w:val="32"/>
        </w:rPr>
        <w:t>（含5、10）</w:t>
      </w:r>
      <w:r>
        <w:rPr>
          <w:rFonts w:hint="eastAsia" w:ascii="仿宋_GB2312" w:hAnsi="仿宋_GB2312" w:eastAsia="仿宋_GB2312" w:cs="仿宋_GB2312"/>
          <w:kern w:val="0"/>
          <w:sz w:val="32"/>
          <w:szCs w:val="28"/>
        </w:rPr>
        <w:t>之间，</w:t>
      </w:r>
      <w:r>
        <w:rPr>
          <w:rFonts w:hint="eastAsia" w:ascii="仿宋_GB2312" w:hAnsi="仿宋_GB2312" w:eastAsia="仿宋_GB2312" w:cs="仿宋_GB2312"/>
          <w:sz w:val="32"/>
          <w:szCs w:val="28"/>
        </w:rPr>
        <w:t>该项目考核结果</w:t>
      </w:r>
      <w:r>
        <w:rPr>
          <w:rFonts w:hint="eastAsia" w:ascii="仿宋_GB2312" w:hAnsi="仿宋_GB2312" w:eastAsia="仿宋_GB2312" w:cs="仿宋_GB2312"/>
          <w:kern w:val="0"/>
          <w:sz w:val="32"/>
          <w:szCs w:val="28"/>
        </w:rPr>
        <w:t xml:space="preserve">判定为“合格”。 </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（5）污泥氯离子浓度要求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每出泥批次，取样人员在取样点采集干化出样品一份（三个平行样，各不小于1kg），送检委托检测单位。检测方法取样及检测方法按照《土壤氯离子含量的测定》</w:t>
      </w:r>
      <w:bookmarkStart w:id="54" w:name="1"/>
      <w:bookmarkEnd w:id="54"/>
      <w:r>
        <w:rPr>
          <w:rFonts w:hint="eastAsia" w:ascii="仿宋_GB2312" w:hAnsi="仿宋_GB2312" w:eastAsia="仿宋_GB2312" w:cs="仿宋_GB2312"/>
          <w:kern w:val="0"/>
          <w:sz w:val="32"/>
          <w:szCs w:val="28"/>
        </w:rPr>
        <w:t>电位滴定法NY/T 1378-2007。</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考核要求：所有批次的出泥的氯离子浓度≤0.55×10</w:t>
      </w:r>
      <w:r>
        <w:rPr>
          <w:rFonts w:hint="eastAsia" w:ascii="仿宋_GB2312" w:hAnsi="仿宋_GB2312" w:eastAsia="仿宋_GB2312" w:cs="仿宋_GB2312"/>
          <w:kern w:val="0"/>
          <w:sz w:val="32"/>
          <w:szCs w:val="28"/>
          <w:vertAlign w:val="superscript"/>
        </w:rPr>
        <w:t>4</w:t>
      </w:r>
      <w:r>
        <w:rPr>
          <w:rFonts w:hint="eastAsia" w:ascii="仿宋_GB2312" w:hAnsi="仿宋_GB2312" w:eastAsia="仿宋_GB2312" w:cs="仿宋_GB2312"/>
          <w:kern w:val="0"/>
          <w:sz w:val="32"/>
          <w:szCs w:val="28"/>
        </w:rPr>
        <w:t>mg/kg，</w:t>
      </w:r>
      <w:r>
        <w:rPr>
          <w:rFonts w:hint="eastAsia" w:ascii="仿宋_GB2312" w:hAnsi="仿宋_GB2312" w:eastAsia="仿宋_GB2312" w:cs="仿宋_GB2312"/>
          <w:sz w:val="32"/>
          <w:szCs w:val="28"/>
        </w:rPr>
        <w:t>该项目考核结果</w:t>
      </w:r>
      <w:r>
        <w:rPr>
          <w:rFonts w:hint="eastAsia" w:ascii="仿宋_GB2312" w:hAnsi="仿宋_GB2312" w:eastAsia="仿宋_GB2312" w:cs="仿宋_GB2312"/>
          <w:kern w:val="0"/>
          <w:sz w:val="32"/>
          <w:szCs w:val="28"/>
        </w:rPr>
        <w:t>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（6）污泥颗粒度要求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委托检测单位取样人员在取样点采集处理后的出泥样品一份（三个平行样，各约2~4kg）送检委托检测单位，采用筛孔直径为30 mm的圆孔试验筛，筛上物质量比例＜20%；采用筛孔直径为50 mm的圆孔试验筛，不应存在筛上物</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考核要求：所有批次的出泥颗粒度标准为采用筛孔直径为 30mm 的圆孔试验筛，筛上物质量比例＜20%， 采用筛孔直径为 50mm 的圆孔试验筛，不应存在筛上物，</w:t>
      </w:r>
      <w:r>
        <w:rPr>
          <w:rFonts w:hint="eastAsia" w:ascii="仿宋_GB2312" w:hAnsi="仿宋_GB2312" w:eastAsia="仿宋_GB2312" w:cs="仿宋_GB2312"/>
          <w:sz w:val="32"/>
          <w:szCs w:val="28"/>
        </w:rPr>
        <w:t>该项目考核</w:t>
      </w:r>
      <w:r>
        <w:rPr>
          <w:rFonts w:hint="eastAsia" w:ascii="仿宋_GB2312" w:hAnsi="仿宋_GB2312" w:eastAsia="仿宋_GB2312" w:cs="仿宋_GB2312"/>
          <w:kern w:val="0"/>
          <w:sz w:val="32"/>
          <w:szCs w:val="28"/>
        </w:rPr>
        <w:t>结果判定为“合格”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（7）污泥（重量）减量比核算要求</w:t>
      </w:r>
    </w:p>
    <w:p>
      <w:pPr>
        <w:spacing w:line="360" w:lineRule="auto"/>
        <w:ind w:left="2" w:leftChars="1" w:firstLine="640" w:firstLineChars="200"/>
        <w:rPr>
          <w:rFonts w:hint="eastAsia" w:ascii="仿宋_GB2312" w:hAnsi="仿宋_GB2312" w:eastAsia="仿宋_GB2312" w:cs="仿宋_GB2312"/>
          <w:b/>
          <w:kern w:val="0"/>
          <w:sz w:val="32"/>
          <w:szCs w:val="32"/>
        </w:rPr>
      </w:pPr>
      <w:r>
        <w:rPr>
          <w:rFonts w:hint="eastAsia" w:ascii="仿宋_GB2312" w:hAnsi="仿宋_GB2312" w:eastAsia="仿宋_GB2312" w:cs="仿宋_GB2312"/>
          <w:kern w:val="0"/>
          <w:sz w:val="32"/>
          <w:szCs w:val="28"/>
        </w:rPr>
        <w:t>从正式考核期开始之日期，委托检测单位工作人员于现场记录</w:t>
      </w:r>
      <w:r>
        <w:rPr>
          <w:rFonts w:hint="eastAsia" w:ascii="仿宋_GB2312" w:hAnsi="仿宋_GB2312" w:eastAsia="仿宋_GB2312" w:cs="仿宋_GB2312"/>
          <w:b/>
          <w:bCs/>
          <w:kern w:val="0"/>
          <w:sz w:val="32"/>
          <w:szCs w:val="28"/>
        </w:rPr>
        <w:t>污泥的进泥泥量数值、密度</w:t>
      </w:r>
      <w:r>
        <w:rPr>
          <w:rFonts w:hint="eastAsia" w:ascii="仿宋_GB2312" w:hAnsi="仿宋_GB2312" w:eastAsia="仿宋_GB2312" w:cs="仿宋_GB2312"/>
          <w:kern w:val="0"/>
          <w:sz w:val="32"/>
          <w:szCs w:val="28"/>
        </w:rPr>
        <w:t>和</w:t>
      </w:r>
      <w:r>
        <w:rPr>
          <w:rFonts w:hint="eastAsia" w:ascii="仿宋_GB2312" w:hAnsi="仿宋_GB2312" w:eastAsia="仿宋_GB2312" w:cs="仿宋_GB2312"/>
          <w:b/>
          <w:bCs/>
          <w:kern w:val="0"/>
          <w:sz w:val="32"/>
          <w:szCs w:val="28"/>
        </w:rPr>
        <w:t>出泥地磅读数</w:t>
      </w:r>
      <w:r>
        <w:rPr>
          <w:rFonts w:hint="eastAsia" w:ascii="仿宋_GB2312" w:hAnsi="仿宋_GB2312" w:eastAsia="仿宋_GB2312" w:cs="仿宋_GB2312"/>
          <w:kern w:val="0"/>
          <w:sz w:val="32"/>
          <w:szCs w:val="28"/>
        </w:rPr>
        <w:t>，按下列公式计算污泥（重量）减量比：</w:t>
      </w:r>
      <w:r>
        <w:rPr>
          <w:rFonts w:hint="eastAsia" w:ascii="仿宋_GB2312" w:hAnsi="仿宋_GB2312" w:eastAsia="仿宋_GB2312" w:cs="仿宋_GB2312"/>
          <w:b/>
          <w:kern w:val="0"/>
          <w:sz w:val="28"/>
          <w:szCs w:val="28"/>
        </w:rPr>
        <w:t>)</w:t>
      </w:r>
    </w:p>
    <w:p>
      <w:pPr>
        <w:widowControl/>
        <w:spacing w:line="360" w:lineRule="auto"/>
        <w:ind w:left="160" w:leftChars="76"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32"/>
        </w:rPr>
        <w:t>=</w:t>
      </w:r>
      <w:r>
        <w:rPr>
          <w:rFonts w:hint="eastAsia" w:ascii="仿宋_GB2312" w:hAnsi="仿宋_GB2312" w:eastAsia="仿宋_GB2312" w:cs="仿宋_GB2312"/>
          <w:sz w:val="32"/>
          <w:szCs w:val="32"/>
        </w:rPr>
        <w:t xml:space="preserve"> </w:t>
      </w:r>
      <w:r>
        <w:rPr>
          <w:rFonts w:hint="eastAsia" w:ascii="仿宋_GB2312" w:hAnsi="仿宋_GB2312" w:eastAsia="仿宋_GB2312" w:cs="仿宋_GB2312"/>
          <w:kern w:val="0"/>
          <w:sz w:val="32"/>
          <w:szCs w:val="32"/>
        </w:rPr>
        <w:t>干化出泥地磅读数均值</w:t>
      </w:r>
      <w:r>
        <w:rPr>
          <w:rFonts w:hint="eastAsia" w:ascii="仿宋_GB2312" w:hAnsi="仿宋_GB2312" w:eastAsia="仿宋_GB2312" w:cs="仿宋_GB2312"/>
          <w:sz w:val="40"/>
          <w:szCs w:val="28"/>
        </w:rPr>
        <w:drawing>
          <wp:inline distT="0" distB="0" distL="0" distR="0">
            <wp:extent cx="2723515" cy="53721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clrChange>
                        <a:clrFrom>
                          <a:srgbClr val="FFFFFF"/>
                        </a:clrFrom>
                        <a:clrTo>
                          <a:srgbClr val="FFFFFF">
                            <a:alpha val="0"/>
                          </a:srgbClr>
                        </a:clrTo>
                      </a:clrChange>
                    </a:blip>
                    <a:srcRect/>
                    <a:stretch>
                      <a:fillRect/>
                    </a:stretch>
                  </pic:blipFill>
                  <pic:spPr>
                    <a:xfrm>
                      <a:off x="0" y="0"/>
                      <a:ext cx="2746774" cy="542357"/>
                    </a:xfrm>
                    <a:prstGeom prst="rect">
                      <a:avLst/>
                    </a:prstGeom>
                    <a:noFill/>
                    <a:ln w="9525">
                      <a:noFill/>
                      <a:miter lim="800000"/>
                      <a:headEnd/>
                      <a:tailEnd/>
                    </a:ln>
                  </pic:spPr>
                </pic:pic>
              </a:graphicData>
            </a:graphic>
          </wp:inline>
        </w:drawing>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考核要求：考核期间，所有批次的处理后污泥（重量）减量比≥60%。</w:t>
      </w:r>
      <w:r>
        <w:rPr>
          <w:rFonts w:hint="eastAsia" w:ascii="仿宋_GB2312" w:hAnsi="仿宋_GB2312" w:eastAsia="仿宋_GB2312" w:cs="仿宋_GB2312"/>
          <w:sz w:val="32"/>
          <w:szCs w:val="28"/>
        </w:rPr>
        <w:t>该项目考核</w:t>
      </w:r>
      <w:r>
        <w:rPr>
          <w:rFonts w:hint="eastAsia" w:ascii="仿宋_GB2312" w:hAnsi="仿宋_GB2312" w:eastAsia="仿宋_GB2312" w:cs="仿宋_GB2312"/>
          <w:kern w:val="0"/>
          <w:sz w:val="32"/>
          <w:szCs w:val="28"/>
        </w:rPr>
        <w:t>结果判定为“合格”。</w:t>
      </w:r>
    </w:p>
    <w:p>
      <w:pPr>
        <w:keepNext/>
        <w:keepLines/>
        <w:spacing w:line="360" w:lineRule="auto"/>
        <w:outlineLvl w:val="2"/>
        <w:rPr>
          <w:rFonts w:hint="eastAsia" w:ascii="仿宋_GB2312" w:hAnsi="仿宋_GB2312" w:eastAsia="仿宋_GB2312" w:cs="仿宋_GB2312"/>
          <w:b/>
          <w:sz w:val="32"/>
          <w:szCs w:val="22"/>
        </w:rPr>
      </w:pPr>
      <w:bookmarkStart w:id="55" w:name="_Toc5316"/>
      <w:bookmarkStart w:id="56" w:name="_Toc71483200"/>
      <w:r>
        <w:rPr>
          <w:rFonts w:hint="eastAsia" w:ascii="仿宋_GB2312" w:hAnsi="仿宋_GB2312" w:eastAsia="仿宋_GB2312" w:cs="仿宋_GB2312"/>
          <w:b/>
          <w:sz w:val="32"/>
          <w:szCs w:val="22"/>
        </w:rPr>
        <w:t>3.3.2记录表格</w:t>
      </w:r>
      <w:bookmarkEnd w:id="55"/>
      <w:bookmarkEnd w:id="56"/>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记录表格分别为：现场记录指标记录表、减量比核算表格、药剂投加量、药剂含固记录表格、生产性试验正式考核期考核评估表，详见附件。</w:t>
      </w:r>
    </w:p>
    <w:p>
      <w:pPr>
        <w:keepNext/>
        <w:keepLines/>
        <w:spacing w:line="360" w:lineRule="auto"/>
        <w:outlineLvl w:val="2"/>
        <w:rPr>
          <w:rFonts w:hint="eastAsia" w:ascii="仿宋_GB2312" w:hAnsi="仿宋_GB2312" w:eastAsia="仿宋_GB2312" w:cs="仿宋_GB2312"/>
          <w:b/>
          <w:sz w:val="32"/>
          <w:szCs w:val="22"/>
        </w:rPr>
      </w:pPr>
      <w:bookmarkStart w:id="57" w:name="_Toc13784"/>
      <w:bookmarkStart w:id="58" w:name="_Toc71483201"/>
      <w:r>
        <w:rPr>
          <w:rFonts w:hint="eastAsia" w:ascii="仿宋_GB2312" w:hAnsi="仿宋_GB2312" w:eastAsia="仿宋_GB2312" w:cs="仿宋_GB2312"/>
          <w:b/>
          <w:sz w:val="32"/>
          <w:szCs w:val="22"/>
        </w:rPr>
        <w:t>3.3.3结果判定</w:t>
      </w:r>
      <w:bookmarkEnd w:id="57"/>
      <w:bookmarkEnd w:id="58"/>
    </w:p>
    <w:p>
      <w:pPr>
        <w:spacing w:line="360" w:lineRule="auto"/>
        <w:ind w:firstLine="560" w:firstLineChars="175"/>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根据委托检测单位的检测结果及考核小组记录结果，正式考核期产量、出泥含水率、污泥重金属、污泥pH、污泥氯离子浓度、干化污泥颗粒度、污泥（重量）减量比核算7项指标均通过考核，该试验药剂厂商本次达到生产性试验的考核要求。</w:t>
      </w:r>
    </w:p>
    <w:p>
      <w:pPr>
        <w:spacing w:line="360" w:lineRule="auto"/>
        <w:jc w:val="center"/>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表3-2 生产性试验正式考核期考核评估表</w:t>
      </w:r>
    </w:p>
    <w:tbl>
      <w:tblPr>
        <w:tblStyle w:val="15"/>
        <w:tblW w:w="8640" w:type="dxa"/>
        <w:tblInd w:w="-10" w:type="dxa"/>
        <w:tblLayout w:type="fixed"/>
        <w:tblCellMar>
          <w:top w:w="0" w:type="dxa"/>
          <w:left w:w="108" w:type="dxa"/>
          <w:bottom w:w="0" w:type="dxa"/>
          <w:right w:w="108" w:type="dxa"/>
        </w:tblCellMar>
      </w:tblPr>
      <w:tblGrid>
        <w:gridCol w:w="709"/>
        <w:gridCol w:w="1276"/>
        <w:gridCol w:w="992"/>
        <w:gridCol w:w="1417"/>
        <w:gridCol w:w="4246"/>
      </w:tblGrid>
      <w:tr>
        <w:tblPrEx>
          <w:tblCellMar>
            <w:top w:w="0" w:type="dxa"/>
            <w:left w:w="108" w:type="dxa"/>
            <w:bottom w:w="0" w:type="dxa"/>
            <w:right w:w="108" w:type="dxa"/>
          </w:tblCellMar>
        </w:tblPrEx>
        <w:trPr>
          <w:trHeight w:val="615" w:hRule="atLeast"/>
        </w:trPr>
        <w:tc>
          <w:tcPr>
            <w:tcW w:w="709"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序号</w:t>
            </w:r>
          </w:p>
        </w:tc>
        <w:tc>
          <w:tcPr>
            <w:tcW w:w="1276" w:type="dxa"/>
            <w:tcBorders>
              <w:top w:val="single" w:color="000000" w:sz="8" w:space="0"/>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项目</w:t>
            </w:r>
          </w:p>
        </w:tc>
        <w:tc>
          <w:tcPr>
            <w:tcW w:w="992" w:type="dxa"/>
            <w:tcBorders>
              <w:top w:val="single" w:color="000000" w:sz="8" w:space="0"/>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单位</w:t>
            </w:r>
          </w:p>
        </w:tc>
        <w:tc>
          <w:tcPr>
            <w:tcW w:w="1417" w:type="dxa"/>
            <w:tcBorders>
              <w:top w:val="single" w:color="000000" w:sz="8" w:space="0"/>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考核结果</w:t>
            </w:r>
          </w:p>
        </w:tc>
        <w:tc>
          <w:tcPr>
            <w:tcW w:w="4246" w:type="dxa"/>
            <w:tcBorders>
              <w:top w:val="single" w:color="000000" w:sz="8" w:space="0"/>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备注</w:t>
            </w:r>
          </w:p>
        </w:tc>
      </w:tr>
      <w:tr>
        <w:tblPrEx>
          <w:tblCellMar>
            <w:top w:w="0" w:type="dxa"/>
            <w:left w:w="108" w:type="dxa"/>
            <w:bottom w:w="0" w:type="dxa"/>
            <w:right w:w="108" w:type="dxa"/>
          </w:tblCellMar>
        </w:tblPrEx>
        <w:trPr>
          <w:trHeight w:val="680"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1.1</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正式考核期产量</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绝干基日均产量不少于7.5吨/天，评定为“合格”。</w:t>
            </w:r>
          </w:p>
        </w:tc>
      </w:tr>
      <w:tr>
        <w:tblPrEx>
          <w:tblCellMar>
            <w:top w:w="0" w:type="dxa"/>
            <w:left w:w="108" w:type="dxa"/>
            <w:bottom w:w="0" w:type="dxa"/>
            <w:right w:w="108" w:type="dxa"/>
          </w:tblCellMar>
        </w:tblPrEx>
        <w:trPr>
          <w:trHeight w:val="1191"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1.2</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含水率</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每批次进、出泥一测。检测方法按照CJ/T 221-2005含水率分析方法。所有批次的干化出泥含水率在30%～40%之间。</w:t>
            </w:r>
          </w:p>
        </w:tc>
      </w:tr>
      <w:tr>
        <w:tblPrEx>
          <w:tblCellMar>
            <w:top w:w="0" w:type="dxa"/>
            <w:left w:w="108" w:type="dxa"/>
            <w:bottom w:w="0" w:type="dxa"/>
            <w:right w:w="108" w:type="dxa"/>
          </w:tblCellMar>
        </w:tblPrEx>
        <w:trPr>
          <w:trHeight w:val="964"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1.3</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pH</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每批次进、出泥一测。检测方法按照CJ/T 221-2005 pH值分析方法。所有批次的干化污泥pH值在5-10（含5、10）之间。</w:t>
            </w:r>
          </w:p>
        </w:tc>
      </w:tr>
      <w:tr>
        <w:tblPrEx>
          <w:tblCellMar>
            <w:top w:w="0" w:type="dxa"/>
            <w:left w:w="108" w:type="dxa"/>
            <w:bottom w:w="0" w:type="dxa"/>
            <w:right w:w="108" w:type="dxa"/>
          </w:tblCellMar>
        </w:tblPrEx>
        <w:trPr>
          <w:trHeight w:val="1304"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1.4</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重金属</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每日进、出泥一测。监测分析方法按照CJ/T 221-2005重金属监测分析方法。要求所有处理后的污泥重金属含量日均值均低于处理前含量。</w:t>
            </w:r>
          </w:p>
        </w:tc>
      </w:tr>
      <w:tr>
        <w:tblPrEx>
          <w:tblCellMar>
            <w:top w:w="0" w:type="dxa"/>
            <w:left w:w="108" w:type="dxa"/>
            <w:bottom w:w="0" w:type="dxa"/>
            <w:right w:w="108" w:type="dxa"/>
          </w:tblCellMar>
        </w:tblPrEx>
        <w:trPr>
          <w:trHeight w:val="1531"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1.5</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污泥（总量）减量比</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测站人员现场记录该班次污泥的进泥泥量(W1)和出泥泥量（M2）计算污泥（重量）减量比，持续5天。要求5日内经处理后污泥（重量）减量比均≥60%。</w:t>
            </w:r>
          </w:p>
        </w:tc>
      </w:tr>
      <w:tr>
        <w:tblPrEx>
          <w:tblCellMar>
            <w:top w:w="0" w:type="dxa"/>
            <w:left w:w="108" w:type="dxa"/>
            <w:bottom w:w="0" w:type="dxa"/>
            <w:right w:w="108" w:type="dxa"/>
          </w:tblCellMar>
        </w:tblPrEx>
        <w:trPr>
          <w:trHeight w:val="1191"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1.6</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氯离子</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每批次进、出泥一测。监测分析方法依据《土壤氯离子含量的测定》电位滴定法NY/T 1378-2007。要求所有处理后的污泥氯离子浓度≤0.55×10</w:t>
            </w:r>
            <w:r>
              <w:rPr>
                <w:rFonts w:hint="eastAsia" w:ascii="仿宋_GB2312" w:hAnsi="仿宋_GB2312" w:eastAsia="仿宋_GB2312" w:cs="仿宋_GB2312"/>
                <w:kern w:val="0"/>
                <w:sz w:val="24"/>
                <w:vertAlign w:val="superscript"/>
              </w:rPr>
              <w:t>4</w:t>
            </w:r>
            <w:r>
              <w:rPr>
                <w:rFonts w:hint="eastAsia" w:ascii="仿宋_GB2312" w:hAnsi="仿宋_GB2312" w:eastAsia="仿宋_GB2312" w:cs="仿宋_GB2312"/>
                <w:kern w:val="0"/>
                <w:sz w:val="24"/>
              </w:rPr>
              <w:t>mg/kg。</w:t>
            </w:r>
          </w:p>
        </w:tc>
      </w:tr>
      <w:tr>
        <w:tblPrEx>
          <w:tblCellMar>
            <w:top w:w="0" w:type="dxa"/>
            <w:left w:w="108" w:type="dxa"/>
            <w:bottom w:w="0" w:type="dxa"/>
            <w:right w:w="108" w:type="dxa"/>
          </w:tblCellMar>
        </w:tblPrEx>
        <w:trPr>
          <w:trHeight w:val="850"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1.7</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颗粒度</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每日干化出泥一测。采用筛孔直径为30 mm的圆孔试验筛，筛上物质量比例＜20%；采用筛孔直径为50 mm的圆孔试验筛，不应存在筛上物，筛上物达标，评定为“合格”。</w:t>
            </w:r>
          </w:p>
        </w:tc>
      </w:tr>
    </w:tbl>
    <w:p>
      <w:pPr>
        <w:keepNext/>
        <w:keepLines/>
        <w:spacing w:line="360" w:lineRule="auto"/>
        <w:outlineLvl w:val="1"/>
        <w:rPr>
          <w:rFonts w:ascii="Arial" w:hAnsi="Arial" w:eastAsia="楷体_GB2312" w:cs="Times New Roman"/>
          <w:b/>
          <w:sz w:val="32"/>
          <w:szCs w:val="22"/>
        </w:rPr>
      </w:pPr>
      <w:bookmarkStart w:id="59" w:name="_Toc71483202"/>
      <w:bookmarkStart w:id="60" w:name="_Toc18470"/>
      <w:r>
        <w:rPr>
          <w:rFonts w:hint="eastAsia" w:ascii="Arial" w:hAnsi="Arial" w:eastAsia="楷体_GB2312" w:cs="Times New Roman"/>
          <w:b/>
          <w:sz w:val="32"/>
          <w:szCs w:val="22"/>
        </w:rPr>
        <w:t>3.4样品保存的有关说明</w:t>
      </w:r>
      <w:bookmarkEnd w:id="59"/>
      <w:bookmarkEnd w:id="60"/>
    </w:p>
    <w:p>
      <w:pPr>
        <w:spacing w:line="360" w:lineRule="auto"/>
        <w:ind w:firstLine="640" w:firstLineChars="200"/>
        <w:rPr>
          <w:rFonts w:hint="eastAsia" w:ascii="等线" w:hAnsi="等线" w:eastAsia="仿宋_GB2312" w:cs="Times New Roman"/>
          <w:sz w:val="32"/>
          <w:szCs w:val="22"/>
        </w:rPr>
      </w:pPr>
      <w:r>
        <w:rPr>
          <w:rFonts w:hint="eastAsia" w:ascii="等线" w:hAnsi="等线" w:eastAsia="仿宋_GB2312" w:cs="Times New Roman"/>
          <w:sz w:val="32"/>
          <w:szCs w:val="22"/>
        </w:rPr>
        <w:t>样品保存具有特殊性要求，现场不具有长时间保存所有样品的能力，同时第三方检测单位也将对样品进行留样保存，故本次试验现场不对出泥进行保存。</w:t>
      </w:r>
    </w:p>
    <w:p>
      <w:pPr>
        <w:widowControl/>
        <w:rPr>
          <w:rFonts w:hint="eastAsia" w:ascii="等线" w:hAnsi="等线" w:eastAsia="仿宋_GB2312" w:cs="Times New Roman"/>
          <w:sz w:val="32"/>
          <w:szCs w:val="22"/>
        </w:rPr>
      </w:pPr>
      <w:r>
        <w:rPr>
          <w:rFonts w:ascii="等线" w:hAnsi="等线" w:eastAsia="仿宋_GB2312" w:cs="Times New Roman"/>
          <w:sz w:val="32"/>
          <w:szCs w:val="22"/>
        </w:rPr>
        <w:br w:type="page"/>
      </w:r>
    </w:p>
    <w:p>
      <w:pPr>
        <w:keepNext/>
        <w:keepLines/>
        <w:spacing w:line="360" w:lineRule="auto"/>
        <w:outlineLvl w:val="0"/>
        <w:rPr>
          <w:rFonts w:ascii="Times New Roman" w:hAnsi="Times New Roman" w:eastAsia="黑体" w:cs="Times New Roman"/>
          <w:b/>
          <w:kern w:val="44"/>
          <w:sz w:val="32"/>
          <w:szCs w:val="22"/>
        </w:rPr>
      </w:pPr>
      <w:bookmarkStart w:id="61" w:name="_Toc16010"/>
      <w:bookmarkStart w:id="62" w:name="_Toc71483204"/>
      <w:r>
        <w:rPr>
          <w:rFonts w:hint="eastAsia" w:ascii="Times New Roman" w:hAnsi="Times New Roman" w:eastAsia="黑体" w:cs="Times New Roman"/>
          <w:b/>
          <w:kern w:val="44"/>
          <w:sz w:val="32"/>
          <w:szCs w:val="22"/>
        </w:rPr>
        <w:t>四、试验风险及处理</w:t>
      </w:r>
      <w:bookmarkEnd w:id="61"/>
      <w:bookmarkEnd w:id="62"/>
    </w:p>
    <w:p>
      <w:pPr>
        <w:keepNext/>
        <w:keepLines/>
        <w:spacing w:line="360" w:lineRule="auto"/>
        <w:outlineLvl w:val="1"/>
        <w:rPr>
          <w:rFonts w:ascii="Arial" w:hAnsi="Arial" w:eastAsia="楷体_GB2312" w:cs="Times New Roman"/>
          <w:b/>
          <w:sz w:val="32"/>
          <w:szCs w:val="22"/>
        </w:rPr>
      </w:pPr>
      <w:bookmarkStart w:id="63" w:name="_Toc27039"/>
      <w:bookmarkStart w:id="64" w:name="_Toc71483205"/>
      <w:r>
        <w:rPr>
          <w:rFonts w:hint="eastAsia" w:ascii="Arial" w:hAnsi="Arial" w:eastAsia="楷体_GB2312" w:cs="Times New Roman"/>
          <w:b/>
          <w:sz w:val="32"/>
          <w:szCs w:val="22"/>
        </w:rPr>
        <w:t>4.1试验过程中的风险及责任</w:t>
      </w:r>
      <w:bookmarkEnd w:id="63"/>
      <w:bookmarkEnd w:id="64"/>
    </w:p>
    <w:p>
      <w:pPr>
        <w:spacing w:line="360" w:lineRule="auto"/>
        <w:jc w:val="center"/>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表4-1试验过程中的风险及责任表</w:t>
      </w:r>
    </w:p>
    <w:tbl>
      <w:tblPr>
        <w:tblStyle w:val="16"/>
        <w:tblW w:w="84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3872"/>
        <w:gridCol w:w="38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序号</w:t>
            </w:r>
          </w:p>
        </w:tc>
        <w:tc>
          <w:tcPr>
            <w:tcW w:w="3872" w:type="dxa"/>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风险</w:t>
            </w:r>
          </w:p>
        </w:tc>
        <w:tc>
          <w:tcPr>
            <w:tcW w:w="3872" w:type="dxa"/>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责任及处理方式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1</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试验过程中出现设备损坏等问题。</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由申请人负责承担设备的维修费用。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2</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试验过程中出现关于药剂侵权的举报问题等涉及药剂知识产权的问题。</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由申请人负责解决，广州净水公司保留追诉的权利。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3</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试验过程中板框出泥、干化出泥不达标。</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广州净水公司协助后续处理处置问题。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4</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试验过程中因操作不当造成人员伤亡等情况。</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由申请人负责人员的救治及赔偿工作。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5</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试验过程中设备出现质量问题等故障。</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由设备维修单位负责维修，申请人承担费用。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6</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试验过程中滤布等易耗品因正常磨损需要更换。</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由设备维修单位负责更换，申请人承担费用。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7</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试验过程中抽检发现药剂不符合安全数据说明书要求。</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由申请人负责更换达标药剂，相关试验结果作废。</w:t>
            </w:r>
          </w:p>
        </w:tc>
      </w:tr>
    </w:tbl>
    <w:p>
      <w:pPr>
        <w:keepNext/>
        <w:keepLines/>
        <w:spacing w:line="360" w:lineRule="auto"/>
        <w:outlineLvl w:val="1"/>
        <w:rPr>
          <w:rFonts w:ascii="Arial" w:hAnsi="Arial" w:eastAsia="楷体_GB2312" w:cs="Times New Roman"/>
          <w:b/>
          <w:sz w:val="32"/>
          <w:szCs w:val="22"/>
        </w:rPr>
      </w:pPr>
      <w:bookmarkStart w:id="65" w:name="_Toc15119"/>
      <w:bookmarkStart w:id="66" w:name="_Toc71483206"/>
      <w:r>
        <w:rPr>
          <w:rFonts w:hint="eastAsia" w:ascii="Arial" w:hAnsi="Arial" w:eastAsia="楷体_GB2312" w:cs="Times New Roman"/>
          <w:b/>
          <w:sz w:val="32"/>
          <w:szCs w:val="22"/>
        </w:rPr>
        <w:t>4.2风险方案</w:t>
      </w:r>
      <w:bookmarkEnd w:id="65"/>
      <w:bookmarkEnd w:id="66"/>
    </w:p>
    <w:p>
      <w:pPr>
        <w:ind w:firstLine="640" w:firstLineChars="200"/>
        <w:sectPr>
          <w:pgSz w:w="11906" w:h="16838"/>
          <w:pgMar w:top="1440" w:right="1800" w:bottom="1440" w:left="1800" w:header="851" w:footer="992" w:gutter="0"/>
          <w:cols w:space="425" w:num="1"/>
          <w:docGrid w:type="lines" w:linePitch="312" w:charSpace="0"/>
        </w:sectPr>
      </w:pPr>
      <w:r>
        <w:rPr>
          <w:rFonts w:hint="eastAsia" w:ascii="等线" w:hAnsi="等线" w:eastAsia="仿宋_GB2312" w:cs="Times New Roman"/>
          <w:sz w:val="32"/>
          <w:szCs w:val="22"/>
        </w:rPr>
        <w:t>申请人需根据实际情况提供风险方案。</w:t>
      </w:r>
    </w:p>
    <w:p>
      <w:pPr>
        <w:keepNext/>
        <w:keepLines/>
        <w:spacing w:line="360" w:lineRule="auto"/>
        <w:outlineLvl w:val="0"/>
        <w:rPr>
          <w:rFonts w:ascii="Times New Roman" w:hAnsi="Times New Roman" w:eastAsia="黑体" w:cs="Times New Roman"/>
          <w:b/>
          <w:kern w:val="44"/>
          <w:sz w:val="32"/>
          <w:szCs w:val="22"/>
        </w:rPr>
      </w:pPr>
      <w:bookmarkStart w:id="67" w:name="_Toc5732"/>
      <w:bookmarkStart w:id="68" w:name="_Toc66058767"/>
      <w:bookmarkStart w:id="69" w:name="_Toc66058615"/>
      <w:r>
        <w:rPr>
          <w:rFonts w:hint="eastAsia" w:ascii="Times New Roman" w:hAnsi="Times New Roman" w:eastAsia="黑体" w:cs="Times New Roman"/>
          <w:b/>
          <w:kern w:val="44"/>
          <w:sz w:val="32"/>
          <w:szCs w:val="22"/>
        </w:rPr>
        <w:t>附件1 工艺流程图</w:t>
      </w:r>
      <w:bookmarkEnd w:id="67"/>
      <w:bookmarkEnd w:id="68"/>
      <w:bookmarkEnd w:id="69"/>
    </w:p>
    <w:p>
      <w:pPr>
        <w:spacing w:line="360" w:lineRule="auto"/>
        <w:jc w:val="center"/>
        <w:rPr>
          <w:rFonts w:hint="eastAsia" w:ascii="仿宋_GB2312" w:hAnsi="等线" w:eastAsia="仿宋_GB2312" w:cs="Times New Roman"/>
          <w:sz w:val="32"/>
          <w:szCs w:val="22"/>
        </w:rPr>
      </w:pPr>
      <w:r>
        <w:rPr>
          <w:rFonts w:hint="eastAsia" w:ascii="仿宋_GB2312" w:hAnsi="等线" w:eastAsia="仿宋_GB2312" w:cs="Times New Roman"/>
          <w:sz w:val="32"/>
          <w:szCs w:val="22"/>
        </w:rPr>
        <w:drawing>
          <wp:inline distT="0" distB="0" distL="0" distR="0">
            <wp:extent cx="8241665" cy="46609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241665" cy="4660900"/>
                    </a:xfrm>
                    <a:prstGeom prst="rect">
                      <a:avLst/>
                    </a:prstGeom>
                  </pic:spPr>
                </pic:pic>
              </a:graphicData>
            </a:graphic>
          </wp:inline>
        </w:drawing>
      </w:r>
    </w:p>
    <w:p>
      <w:pPr>
        <w:keepNext/>
        <w:keepLines/>
        <w:spacing w:line="360" w:lineRule="auto"/>
        <w:outlineLvl w:val="0"/>
        <w:rPr>
          <w:rFonts w:ascii="Times New Roman" w:hAnsi="Times New Roman" w:eastAsia="黑体" w:cs="Times New Roman"/>
          <w:b/>
          <w:kern w:val="44"/>
          <w:sz w:val="32"/>
          <w:szCs w:val="22"/>
        </w:rPr>
      </w:pPr>
      <w:bookmarkStart w:id="70" w:name="_Toc32358"/>
      <w:r>
        <w:rPr>
          <w:rFonts w:hint="eastAsia" w:ascii="Times New Roman" w:hAnsi="Times New Roman" w:eastAsia="黑体" w:cs="Times New Roman"/>
          <w:b/>
          <w:kern w:val="44"/>
          <w:sz w:val="32"/>
          <w:szCs w:val="22"/>
        </w:rPr>
        <w:t>附件2</w:t>
      </w:r>
      <w:bookmarkEnd w:id="70"/>
    </w:p>
    <w:p>
      <w:pPr>
        <w:spacing w:line="360" w:lineRule="auto"/>
        <w:jc w:val="center"/>
        <w:rPr>
          <w:rFonts w:hint="eastAsia" w:ascii="方正小标宋简体" w:hAnsi="宋体" w:eastAsia="方正小标宋简体" w:cs="宋体"/>
          <w:b/>
          <w:bCs/>
          <w:kern w:val="0"/>
          <w:sz w:val="44"/>
          <w:szCs w:val="32"/>
        </w:rPr>
      </w:pPr>
      <w:r>
        <w:rPr>
          <w:rFonts w:hint="eastAsia" w:ascii="方正小标宋简体" w:hAnsi="宋体" w:eastAsia="方正小标宋简体" w:cs="宋体"/>
          <w:b/>
          <w:bCs/>
          <w:kern w:val="0"/>
          <w:sz w:val="44"/>
          <w:szCs w:val="32"/>
        </w:rPr>
        <w:t>生产性试验考核记录表格</w:t>
      </w:r>
    </w:p>
    <w:p>
      <w:pPr>
        <w:snapToGrid w:val="0"/>
        <w:jc w:val="center"/>
        <w:rPr>
          <w:rFonts w:ascii="方正小标宋简体" w:hAnsi="Arial" w:eastAsia="方正小标宋简体" w:cs="Arial"/>
          <w:sz w:val="44"/>
          <w:szCs w:val="44"/>
        </w:rPr>
      </w:pPr>
      <w:r>
        <w:rPr>
          <w:rFonts w:hint="eastAsia" w:ascii="方正小标宋简体" w:hAnsi="黑体" w:eastAsia="方正小标宋简体" w:cs="黑体"/>
          <w:sz w:val="44"/>
          <w:szCs w:val="44"/>
        </w:rPr>
        <w:t>表 1</w:t>
      </w:r>
      <w:bookmarkStart w:id="71" w:name="_Hlk65156668"/>
      <w:r>
        <w:rPr>
          <w:rFonts w:hint="eastAsia" w:ascii="方正小标宋简体" w:hAnsi="黑体" w:eastAsia="方正小标宋简体" w:cs="黑体"/>
          <w:sz w:val="44"/>
          <w:szCs w:val="44"/>
        </w:rPr>
        <w:t>：</w:t>
      </w:r>
      <w:r>
        <w:rPr>
          <w:rFonts w:hint="eastAsia" w:ascii="方正小标宋简体" w:hAnsi="Arial" w:eastAsia="方正小标宋简体" w:cs="Arial"/>
          <w:sz w:val="44"/>
          <w:szCs w:val="44"/>
        </w:rPr>
        <w:t>现场记录指标记录表</w:t>
      </w:r>
    </w:p>
    <w:bookmarkEnd w:id="71"/>
    <w:p>
      <w:pPr>
        <w:autoSpaceDE w:val="0"/>
        <w:autoSpaceDN w:val="0"/>
        <w:jc w:val="center"/>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记录日期 </w:t>
      </w:r>
      <w:r>
        <w:rPr>
          <w:rFonts w:ascii="仿宋_GB2312" w:hAnsi="仿宋_GB2312" w:eastAsia="仿宋_GB2312" w:cs="仿宋_GB2312"/>
          <w:kern w:val="0"/>
          <w:sz w:val="24"/>
        </w:rPr>
        <w:t xml:space="preserve">          </w:t>
      </w:r>
      <w:r>
        <w:rPr>
          <w:rFonts w:hint="eastAsia" w:ascii="仿宋_GB2312" w:hAnsi="仿宋_GB2312" w:eastAsia="仿宋_GB2312" w:cs="仿宋_GB2312"/>
          <w:kern w:val="0"/>
          <w:sz w:val="24"/>
        </w:rPr>
        <w:t>年</w:t>
      </w:r>
      <w:r>
        <w:rPr>
          <w:rFonts w:ascii="仿宋_GB2312" w:hAnsi="仿宋_GB2312" w:eastAsia="仿宋_GB2312" w:cs="仿宋_GB2312"/>
          <w:kern w:val="0"/>
          <w:sz w:val="24"/>
        </w:rPr>
        <w:t xml:space="preserve">    </w:t>
      </w:r>
      <w:r>
        <w:rPr>
          <w:rFonts w:hint="eastAsia" w:ascii="仿宋_GB2312" w:hAnsi="仿宋_GB2312" w:eastAsia="仿宋_GB2312" w:cs="仿宋_GB2312"/>
          <w:kern w:val="0"/>
          <w:sz w:val="24"/>
        </w:rPr>
        <w:t>月</w:t>
      </w:r>
      <w:r>
        <w:rPr>
          <w:rFonts w:ascii="仿宋_GB2312" w:hAnsi="仿宋_GB2312" w:eastAsia="仿宋_GB2312" w:cs="仿宋_GB2312"/>
          <w:kern w:val="0"/>
          <w:sz w:val="24"/>
        </w:rPr>
        <w:t xml:space="preserve">    </w:t>
      </w:r>
      <w:r>
        <w:rPr>
          <w:rFonts w:hint="eastAsia" w:ascii="仿宋_GB2312" w:hAnsi="仿宋_GB2312" w:eastAsia="仿宋_GB2312" w:cs="仿宋_GB2312"/>
          <w:kern w:val="0"/>
          <w:sz w:val="24"/>
        </w:rPr>
        <w:t>日</w:t>
      </w:r>
      <w:r>
        <w:rPr>
          <w:rFonts w:ascii="仿宋_GB2312" w:hAnsi="仿宋_GB2312" w:eastAsia="仿宋_GB2312" w:cs="仿宋_GB2312"/>
          <w:kern w:val="0"/>
          <w:sz w:val="24"/>
        </w:rPr>
        <w:t xml:space="preserve"> </w:t>
      </w:r>
      <w:r>
        <w:rPr>
          <w:rFonts w:hint="eastAsia" w:ascii="仿宋_GB2312" w:hAnsi="仿宋_GB2312" w:eastAsia="仿宋_GB2312" w:cs="仿宋_GB2312"/>
          <w:kern w:val="0"/>
          <w:sz w:val="24"/>
        </w:rPr>
        <w:t xml:space="preserve"> </w:t>
      </w:r>
      <w:r>
        <w:rPr>
          <w:rFonts w:ascii="仿宋_GB2312" w:hAnsi="仿宋_GB2312" w:eastAsia="仿宋_GB2312" w:cs="仿宋_GB2312"/>
          <w:kern w:val="0"/>
          <w:sz w:val="24"/>
        </w:rPr>
        <w:t xml:space="preserve">            记录时间</w:t>
      </w:r>
    </w:p>
    <w:tbl>
      <w:tblPr>
        <w:tblStyle w:val="21"/>
        <w:tblW w:w="13289" w:type="dxa"/>
        <w:tblInd w:w="3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66"/>
        <w:gridCol w:w="1559"/>
        <w:gridCol w:w="1843"/>
        <w:gridCol w:w="2126"/>
        <w:gridCol w:w="2693"/>
        <w:gridCol w:w="34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1666" w:type="dxa"/>
            <w:vAlign w:val="center"/>
          </w:tcPr>
          <w:p>
            <w:pPr>
              <w:autoSpaceDE w:val="0"/>
              <w:autoSpaceDN w:val="0"/>
              <w:ind w:right="69"/>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批次（时间）</w:t>
            </w:r>
          </w:p>
        </w:tc>
        <w:tc>
          <w:tcPr>
            <w:tcW w:w="1559" w:type="dxa"/>
            <w:vAlign w:val="center"/>
          </w:tcPr>
          <w:p>
            <w:pPr>
              <w:autoSpaceDE w:val="0"/>
              <w:autoSpaceDN w:val="0"/>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取样位置</w:t>
            </w:r>
          </w:p>
        </w:tc>
        <w:tc>
          <w:tcPr>
            <w:tcW w:w="1843" w:type="dxa"/>
            <w:vAlign w:val="center"/>
          </w:tcPr>
          <w:p>
            <w:pPr>
              <w:autoSpaceDE w:val="0"/>
              <w:autoSpaceDN w:val="0"/>
              <w:ind w:right="137"/>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快测检测项目</w:t>
            </w:r>
          </w:p>
        </w:tc>
        <w:tc>
          <w:tcPr>
            <w:tcW w:w="2126" w:type="dxa"/>
            <w:vAlign w:val="center"/>
          </w:tcPr>
          <w:p>
            <w:pPr>
              <w:autoSpaceDE w:val="0"/>
              <w:autoSpaceDN w:val="0"/>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检测平均值</w:t>
            </w:r>
          </w:p>
        </w:tc>
        <w:tc>
          <w:tcPr>
            <w:tcW w:w="2693" w:type="dxa"/>
            <w:vAlign w:val="center"/>
          </w:tcPr>
          <w:p>
            <w:pPr>
              <w:autoSpaceDE w:val="0"/>
              <w:autoSpaceDN w:val="0"/>
              <w:ind w:right="699"/>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限值</w:t>
            </w:r>
          </w:p>
        </w:tc>
        <w:tc>
          <w:tcPr>
            <w:tcW w:w="3402" w:type="dxa"/>
            <w:vAlign w:val="center"/>
          </w:tcPr>
          <w:p>
            <w:pPr>
              <w:autoSpaceDE w:val="0"/>
              <w:autoSpaceDN w:val="0"/>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1666" w:type="dxa"/>
            <w:vAlign w:val="center"/>
          </w:tcPr>
          <w:p>
            <w:pPr>
              <w:autoSpaceDE w:val="0"/>
              <w:autoSpaceDN w:val="0"/>
              <w:rPr>
                <w:rFonts w:hint="eastAsia" w:ascii="仿宋_GB2312" w:hAnsi="仿宋_GB2312" w:eastAsia="仿宋_GB2312" w:cs="仿宋_GB2312"/>
                <w:kern w:val="0"/>
                <w:sz w:val="24"/>
                <w:lang w:eastAsia="en-US"/>
              </w:rPr>
            </w:pPr>
          </w:p>
        </w:tc>
        <w:tc>
          <w:tcPr>
            <w:tcW w:w="1559" w:type="dxa"/>
            <w:vMerge w:val="restart"/>
            <w:vAlign w:val="center"/>
          </w:tcPr>
          <w:p>
            <w:pPr>
              <w:autoSpaceDE w:val="0"/>
              <w:autoSpaceDN w:val="0"/>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进泥取样口</w:t>
            </w:r>
          </w:p>
        </w:tc>
        <w:tc>
          <w:tcPr>
            <w:tcW w:w="1843" w:type="dxa"/>
            <w:vAlign w:val="center"/>
          </w:tcPr>
          <w:p>
            <w:pPr>
              <w:autoSpaceDE w:val="0"/>
              <w:autoSpaceDN w:val="0"/>
              <w:ind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密度</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rPr>
                <w:rFonts w:hint="eastAsia" w:ascii="仿宋_GB2312" w:hAnsi="仿宋_GB2312" w:eastAsia="仿宋_GB2312" w:cs="仿宋_GB2312"/>
                <w:kern w:val="0"/>
                <w:sz w:val="24"/>
                <w:lang w:eastAsia="en-US"/>
              </w:rPr>
            </w:pPr>
            <w:r>
              <w:rPr>
                <w:rFonts w:hint="eastAsia" w:ascii="仿宋_GB2312" w:hAnsi="仿宋_GB2312" w:eastAsia="仿宋_GB2312" w:cs="仿宋_GB2312"/>
                <w:w w:val="99"/>
                <w:kern w:val="0"/>
                <w:sz w:val="24"/>
                <w:lang w:eastAsia="en-US"/>
              </w:rPr>
              <w:t>—</w:t>
            </w:r>
          </w:p>
        </w:tc>
        <w:tc>
          <w:tcPr>
            <w:tcW w:w="3402" w:type="dxa"/>
            <w:vAlign w:val="center"/>
          </w:tcPr>
          <w:p>
            <w:pPr>
              <w:autoSpaceDE w:val="0"/>
              <w:autoSpaceDN w:val="0"/>
              <w:spacing w:line="319" w:lineRule="auto"/>
              <w:ind w:right="4"/>
              <w:rPr>
                <w:rFonts w:hint="eastAsia" w:ascii="仿宋_GB2312" w:hAnsi="仿宋_GB2312" w:eastAsia="仿宋_GB2312" w:cs="仿宋_GB2312"/>
                <w:kern w:val="0"/>
                <w:sz w:val="24"/>
                <w:lang w:eastAsia="zh-CN"/>
              </w:rPr>
            </w:pPr>
            <w:r>
              <w:rPr>
                <w:rFonts w:hint="eastAsia" w:ascii="仿宋_GB2312" w:hAnsi="仿宋_GB2312" w:eastAsia="仿宋_GB2312" w:cs="仿宋_GB2312"/>
                <w:kern w:val="0"/>
                <w:sz w:val="24"/>
                <w:lang w:eastAsia="zh-CN"/>
              </w:rPr>
              <w:t>用于核算污泥（重</w:t>
            </w:r>
            <w:r>
              <w:rPr>
                <w:rFonts w:hint="eastAsia" w:ascii="仿宋_GB2312" w:hAnsi="仿宋_GB2312" w:eastAsia="仿宋_GB2312" w:cs="仿宋_GB2312"/>
                <w:w w:val="95"/>
                <w:kern w:val="0"/>
                <w:sz w:val="24"/>
                <w:lang w:eastAsia="zh-CN"/>
              </w:rPr>
              <w:t>量）减量比</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1666" w:type="dxa"/>
            <w:vAlign w:val="center"/>
          </w:tcPr>
          <w:p>
            <w:pPr>
              <w:autoSpaceDE w:val="0"/>
              <w:autoSpaceDN w:val="0"/>
              <w:spacing w:before="141"/>
              <w:ind w:left="6"/>
              <w:rPr>
                <w:rFonts w:hint="eastAsia" w:ascii="仿宋_GB2312" w:hAnsi="仿宋_GB2312" w:eastAsia="仿宋_GB2312" w:cs="仿宋_GB2312"/>
                <w:kern w:val="0"/>
                <w:sz w:val="24"/>
                <w:lang w:eastAsia="zh-CN"/>
              </w:rPr>
            </w:pPr>
          </w:p>
        </w:tc>
        <w:tc>
          <w:tcPr>
            <w:tcW w:w="1559" w:type="dxa"/>
            <w:vMerge w:val="continue"/>
            <w:tcBorders>
              <w:top w:val="nil"/>
            </w:tcBorders>
            <w:vAlign w:val="center"/>
          </w:tcPr>
          <w:p>
            <w:pPr>
              <w:autoSpaceDE w:val="0"/>
              <w:autoSpaceDN w:val="0"/>
              <w:spacing w:line="360" w:lineRule="auto"/>
              <w:rPr>
                <w:rFonts w:hint="eastAsia" w:ascii="仿宋_GB2312" w:hAnsi="仿宋_GB2312" w:eastAsia="仿宋_GB2312" w:cs="仿宋_GB2312"/>
                <w:sz w:val="24"/>
                <w:szCs w:val="22"/>
                <w:lang w:eastAsia="zh-CN"/>
              </w:rPr>
            </w:pPr>
          </w:p>
        </w:tc>
        <w:tc>
          <w:tcPr>
            <w:tcW w:w="1843" w:type="dxa"/>
            <w:vAlign w:val="center"/>
          </w:tcPr>
          <w:p>
            <w:pPr>
              <w:autoSpaceDE w:val="0"/>
              <w:autoSpaceDN w:val="0"/>
              <w:spacing w:before="141"/>
              <w:ind w:left="143"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含水率</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spacing w:before="141"/>
              <w:ind w:left="8"/>
              <w:rPr>
                <w:rFonts w:hint="eastAsia" w:ascii="仿宋_GB2312" w:hAnsi="仿宋_GB2312" w:eastAsia="仿宋_GB2312" w:cs="仿宋_GB2312"/>
                <w:kern w:val="0"/>
                <w:sz w:val="24"/>
                <w:lang w:eastAsia="en-US"/>
              </w:rPr>
            </w:pPr>
            <w:r>
              <w:rPr>
                <w:rFonts w:hint="eastAsia" w:ascii="仿宋_GB2312" w:hAnsi="仿宋_GB2312" w:eastAsia="仿宋_GB2312" w:cs="仿宋_GB2312"/>
                <w:w w:val="99"/>
                <w:kern w:val="0"/>
                <w:sz w:val="24"/>
                <w:lang w:eastAsia="en-US"/>
              </w:rPr>
              <w:t>—</w:t>
            </w:r>
          </w:p>
        </w:tc>
        <w:tc>
          <w:tcPr>
            <w:tcW w:w="3402" w:type="dxa"/>
            <w:vAlign w:val="center"/>
          </w:tcPr>
          <w:p>
            <w:pPr>
              <w:autoSpaceDE w:val="0"/>
              <w:autoSpaceDN w:val="0"/>
              <w:rPr>
                <w:rFonts w:hint="eastAsia" w:ascii="仿宋_GB2312" w:hAnsi="仿宋_GB2312" w:eastAsia="仿宋_GB2312" w:cs="仿宋_GB2312"/>
                <w:kern w:val="0"/>
                <w:sz w:val="24"/>
                <w:lang w:eastAsia="zh-CN"/>
              </w:rPr>
            </w:pPr>
            <w:r>
              <w:rPr>
                <w:rFonts w:hint="eastAsia" w:ascii="仿宋_GB2312" w:hAnsi="仿宋_GB2312" w:eastAsia="仿宋_GB2312" w:cs="仿宋_GB2312"/>
                <w:kern w:val="0"/>
                <w:sz w:val="24"/>
                <w:lang w:eastAsia="zh-CN"/>
              </w:rPr>
              <w:t>用于核算污泥（重</w:t>
            </w:r>
            <w:r>
              <w:rPr>
                <w:rFonts w:hint="eastAsia" w:ascii="仿宋_GB2312" w:hAnsi="仿宋_GB2312" w:eastAsia="仿宋_GB2312" w:cs="仿宋_GB2312"/>
                <w:w w:val="95"/>
                <w:kern w:val="0"/>
                <w:sz w:val="24"/>
                <w:lang w:eastAsia="zh-CN"/>
              </w:rPr>
              <w:t>量）减量比</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7" w:hRule="atLeast"/>
        </w:trPr>
        <w:tc>
          <w:tcPr>
            <w:tcW w:w="1666" w:type="dxa"/>
            <w:vAlign w:val="center"/>
          </w:tcPr>
          <w:p>
            <w:pPr>
              <w:autoSpaceDE w:val="0"/>
              <w:autoSpaceDN w:val="0"/>
              <w:spacing w:before="141"/>
              <w:ind w:left="6"/>
              <w:rPr>
                <w:rFonts w:hint="eastAsia" w:ascii="仿宋_GB2312" w:hAnsi="仿宋_GB2312" w:eastAsia="仿宋_GB2312" w:cs="仿宋_GB2312"/>
                <w:kern w:val="0"/>
                <w:sz w:val="24"/>
                <w:lang w:eastAsia="zh-CN"/>
              </w:rPr>
            </w:pPr>
          </w:p>
        </w:tc>
        <w:tc>
          <w:tcPr>
            <w:tcW w:w="1559" w:type="dxa"/>
            <w:vMerge w:val="continue"/>
            <w:tcBorders>
              <w:top w:val="nil"/>
            </w:tcBorders>
            <w:vAlign w:val="center"/>
          </w:tcPr>
          <w:p>
            <w:pPr>
              <w:autoSpaceDE w:val="0"/>
              <w:autoSpaceDN w:val="0"/>
              <w:spacing w:line="360" w:lineRule="auto"/>
              <w:rPr>
                <w:rFonts w:hint="eastAsia" w:ascii="仿宋_GB2312" w:hAnsi="仿宋_GB2312" w:eastAsia="仿宋_GB2312" w:cs="仿宋_GB2312"/>
                <w:sz w:val="24"/>
                <w:szCs w:val="22"/>
                <w:lang w:eastAsia="zh-CN"/>
              </w:rPr>
            </w:pPr>
          </w:p>
        </w:tc>
        <w:tc>
          <w:tcPr>
            <w:tcW w:w="1843" w:type="dxa"/>
            <w:vAlign w:val="center"/>
          </w:tcPr>
          <w:p>
            <w:pPr>
              <w:autoSpaceDE w:val="0"/>
              <w:autoSpaceDN w:val="0"/>
              <w:spacing w:before="141"/>
              <w:ind w:left="145"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进泥量</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spacing w:before="141"/>
              <w:ind w:left="706" w:right="697"/>
              <w:rPr>
                <w:rFonts w:hint="eastAsia" w:ascii="仿宋_GB2312" w:hAnsi="仿宋_GB2312" w:eastAsia="仿宋_GB2312" w:cs="仿宋_GB2312"/>
                <w:kern w:val="0"/>
                <w:sz w:val="24"/>
                <w:lang w:eastAsia="en-US"/>
              </w:rPr>
            </w:pPr>
            <w:r>
              <w:rPr>
                <w:rFonts w:hint="eastAsia" w:ascii="仿宋_GB2312" w:hAnsi="仿宋_GB2312" w:eastAsia="仿宋_GB2312" w:cs="仿宋_GB2312"/>
                <w:w w:val="99"/>
                <w:kern w:val="0"/>
                <w:sz w:val="24"/>
                <w:lang w:eastAsia="en-US"/>
              </w:rPr>
              <w:t>—</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trPr>
        <w:tc>
          <w:tcPr>
            <w:tcW w:w="1666" w:type="dxa"/>
            <w:vAlign w:val="center"/>
          </w:tcPr>
          <w:p>
            <w:pPr>
              <w:autoSpaceDE w:val="0"/>
              <w:autoSpaceDN w:val="0"/>
              <w:spacing w:before="140"/>
              <w:ind w:left="6"/>
              <w:rPr>
                <w:rFonts w:hint="eastAsia" w:ascii="仿宋_GB2312" w:hAnsi="仿宋_GB2312" w:eastAsia="仿宋_GB2312" w:cs="仿宋_GB2312"/>
                <w:kern w:val="0"/>
                <w:sz w:val="24"/>
                <w:lang w:eastAsia="en-US"/>
              </w:rPr>
            </w:pPr>
          </w:p>
        </w:tc>
        <w:tc>
          <w:tcPr>
            <w:tcW w:w="1559" w:type="dxa"/>
            <w:vMerge w:val="restart"/>
            <w:vAlign w:val="center"/>
          </w:tcPr>
          <w:p>
            <w:pPr>
              <w:autoSpaceDE w:val="0"/>
              <w:autoSpaceDN w:val="0"/>
              <w:spacing w:line="321" w:lineRule="auto"/>
              <w:ind w:right="74"/>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板框机压滤出泥</w:t>
            </w:r>
          </w:p>
        </w:tc>
        <w:tc>
          <w:tcPr>
            <w:tcW w:w="1843" w:type="dxa"/>
            <w:vAlign w:val="center"/>
          </w:tcPr>
          <w:p>
            <w:pPr>
              <w:autoSpaceDE w:val="0"/>
              <w:autoSpaceDN w:val="0"/>
              <w:spacing w:before="140"/>
              <w:ind w:left="143"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含水率</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spacing w:before="140"/>
              <w:ind w:left="706" w:right="699"/>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55%</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666" w:type="dxa"/>
            <w:vAlign w:val="center"/>
          </w:tcPr>
          <w:p>
            <w:pPr>
              <w:autoSpaceDE w:val="0"/>
              <w:autoSpaceDN w:val="0"/>
              <w:spacing w:before="148"/>
              <w:ind w:left="6"/>
              <w:rPr>
                <w:rFonts w:hint="eastAsia" w:ascii="仿宋_GB2312" w:hAnsi="仿宋_GB2312" w:eastAsia="仿宋_GB2312" w:cs="仿宋_GB2312"/>
                <w:w w:val="99"/>
                <w:kern w:val="0"/>
                <w:sz w:val="24"/>
                <w:lang w:eastAsia="en-US"/>
              </w:rPr>
            </w:pPr>
          </w:p>
        </w:tc>
        <w:tc>
          <w:tcPr>
            <w:tcW w:w="1559" w:type="dxa"/>
            <w:vMerge w:val="continue"/>
            <w:tcBorders>
              <w:bottom w:val="single" w:color="auto" w:sz="4" w:space="0"/>
            </w:tcBorders>
            <w:vAlign w:val="center"/>
          </w:tcPr>
          <w:p>
            <w:pPr>
              <w:autoSpaceDE w:val="0"/>
              <w:autoSpaceDN w:val="0"/>
              <w:spacing w:line="360" w:lineRule="auto"/>
              <w:rPr>
                <w:rFonts w:hint="eastAsia" w:ascii="仿宋_GB2312" w:hAnsi="仿宋_GB2312" w:eastAsia="仿宋_GB2312" w:cs="仿宋_GB2312"/>
                <w:sz w:val="24"/>
                <w:szCs w:val="22"/>
                <w:lang w:eastAsia="en-US"/>
              </w:rPr>
            </w:pPr>
          </w:p>
        </w:tc>
        <w:tc>
          <w:tcPr>
            <w:tcW w:w="1843" w:type="dxa"/>
            <w:vAlign w:val="center"/>
          </w:tcPr>
          <w:p>
            <w:pPr>
              <w:autoSpaceDE w:val="0"/>
              <w:autoSpaceDN w:val="0"/>
              <w:spacing w:before="148"/>
              <w:ind w:left="145"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氯离子</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adjustRightInd w:val="0"/>
              <w:snapToGrid w:val="0"/>
              <w:rPr>
                <w:rFonts w:hint="eastAsia" w:ascii="仿宋_GB2312" w:hAnsi="仿宋_GB2312" w:eastAsia="仿宋_GB2312" w:cs="仿宋_GB2312"/>
                <w:w w:val="99"/>
                <w:kern w:val="0"/>
                <w:sz w:val="24"/>
                <w:lang w:eastAsia="en-US"/>
              </w:rPr>
            </w:pPr>
            <w:r>
              <w:rPr>
                <w:rFonts w:hint="eastAsia" w:ascii="仿宋_GB2312" w:hAnsi="宋体" w:eastAsia="仿宋_GB2312" w:cs="宋体"/>
                <w:kern w:val="0"/>
                <w:sz w:val="24"/>
                <w:szCs w:val="22"/>
                <w:lang w:eastAsia="en-US"/>
              </w:rPr>
              <w:t>≤</w:t>
            </w:r>
            <w:r>
              <w:rPr>
                <w:rFonts w:ascii="仿宋_GB2312" w:hAnsi="宋体" w:eastAsia="仿宋_GB2312" w:cs="宋体"/>
                <w:kern w:val="0"/>
                <w:sz w:val="24"/>
                <w:szCs w:val="22"/>
                <w:lang w:eastAsia="en-US"/>
              </w:rPr>
              <w:t>0.55╳10</w:t>
            </w:r>
            <w:r>
              <w:rPr>
                <w:rFonts w:ascii="仿宋_GB2312" w:hAnsi="宋体" w:eastAsia="仿宋_GB2312" w:cs="宋体"/>
                <w:kern w:val="0"/>
                <w:sz w:val="24"/>
                <w:szCs w:val="22"/>
                <w:vertAlign w:val="superscript"/>
                <w:lang w:eastAsia="en-US"/>
              </w:rPr>
              <w:t>4</w:t>
            </w:r>
            <w:r>
              <w:rPr>
                <w:rFonts w:ascii="仿宋_GB2312" w:hAnsi="宋体" w:eastAsia="仿宋_GB2312" w:cs="宋体"/>
                <w:kern w:val="0"/>
                <w:sz w:val="24"/>
                <w:szCs w:val="22"/>
                <w:lang w:eastAsia="en-US"/>
              </w:rPr>
              <w:t>mg/kg</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6" w:hRule="atLeast"/>
        </w:trPr>
        <w:tc>
          <w:tcPr>
            <w:tcW w:w="1666" w:type="dxa"/>
            <w:vAlign w:val="center"/>
          </w:tcPr>
          <w:p>
            <w:pPr>
              <w:autoSpaceDE w:val="0"/>
              <w:autoSpaceDN w:val="0"/>
              <w:spacing w:before="148"/>
              <w:ind w:left="6"/>
              <w:rPr>
                <w:rFonts w:hint="eastAsia" w:ascii="仿宋_GB2312" w:hAnsi="仿宋_GB2312" w:eastAsia="仿宋_GB2312" w:cs="仿宋_GB2312"/>
                <w:w w:val="99"/>
                <w:kern w:val="0"/>
                <w:sz w:val="24"/>
                <w:lang w:eastAsia="en-US"/>
              </w:rPr>
            </w:pPr>
          </w:p>
        </w:tc>
        <w:tc>
          <w:tcPr>
            <w:tcW w:w="1559" w:type="dxa"/>
            <w:vMerge w:val="restart"/>
            <w:tcBorders>
              <w:top w:val="single" w:color="auto" w:sz="4" w:space="0"/>
            </w:tcBorders>
            <w:vAlign w:val="center"/>
          </w:tcPr>
          <w:p>
            <w:pPr>
              <w:autoSpaceDE w:val="0"/>
              <w:autoSpaceDN w:val="0"/>
              <w:spacing w:line="360" w:lineRule="auto"/>
              <w:rPr>
                <w:rFonts w:hint="eastAsia" w:ascii="仿宋_GB2312" w:hAnsi="仿宋_GB2312" w:eastAsia="仿宋_GB2312" w:cs="仿宋_GB2312"/>
                <w:sz w:val="24"/>
                <w:szCs w:val="22"/>
                <w:lang w:eastAsia="en-US"/>
              </w:rPr>
            </w:pPr>
            <w:r>
              <w:rPr>
                <w:rFonts w:hint="eastAsia" w:ascii="仿宋_GB2312" w:hAnsi="仿宋_GB2312" w:eastAsia="仿宋_GB2312" w:cs="仿宋_GB2312"/>
                <w:sz w:val="24"/>
                <w:szCs w:val="22"/>
                <w:lang w:eastAsia="en-US"/>
              </w:rPr>
              <w:t>试验出泥</w:t>
            </w:r>
          </w:p>
        </w:tc>
        <w:tc>
          <w:tcPr>
            <w:tcW w:w="1843" w:type="dxa"/>
            <w:vAlign w:val="center"/>
          </w:tcPr>
          <w:p>
            <w:pPr>
              <w:autoSpaceDE w:val="0"/>
              <w:autoSpaceDN w:val="0"/>
              <w:spacing w:before="148"/>
              <w:ind w:left="145"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含水率</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spacing w:before="148"/>
              <w:ind w:left="706" w:right="699"/>
              <w:rPr>
                <w:rFonts w:hint="eastAsia" w:ascii="仿宋_GB2312" w:hAnsi="仿宋_GB2312" w:eastAsia="仿宋_GB2312" w:cs="仿宋_GB2312"/>
                <w:w w:val="99"/>
                <w:kern w:val="0"/>
                <w:sz w:val="24"/>
                <w:lang w:eastAsia="en-US"/>
              </w:rPr>
            </w:pPr>
            <w:r>
              <w:rPr>
                <w:rFonts w:hint="eastAsia" w:ascii="仿宋_GB2312" w:hAnsi="仿宋_GB2312" w:eastAsia="仿宋_GB2312" w:cs="仿宋_GB2312"/>
                <w:kern w:val="0"/>
                <w:sz w:val="24"/>
                <w:lang w:eastAsia="en-US"/>
              </w:rPr>
              <w:t>30%～40%</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 w:hRule="atLeast"/>
        </w:trPr>
        <w:tc>
          <w:tcPr>
            <w:tcW w:w="1666" w:type="dxa"/>
            <w:vAlign w:val="center"/>
          </w:tcPr>
          <w:p>
            <w:pPr>
              <w:autoSpaceDE w:val="0"/>
              <w:autoSpaceDN w:val="0"/>
              <w:spacing w:before="148"/>
              <w:ind w:left="6"/>
              <w:rPr>
                <w:rFonts w:hint="eastAsia" w:ascii="仿宋_GB2312" w:hAnsi="仿宋_GB2312" w:eastAsia="仿宋_GB2312" w:cs="仿宋_GB2312"/>
                <w:w w:val="99"/>
                <w:kern w:val="0"/>
                <w:sz w:val="24"/>
                <w:lang w:eastAsia="en-US"/>
              </w:rPr>
            </w:pPr>
          </w:p>
        </w:tc>
        <w:tc>
          <w:tcPr>
            <w:tcW w:w="1559" w:type="dxa"/>
            <w:vMerge w:val="continue"/>
            <w:vAlign w:val="center"/>
          </w:tcPr>
          <w:p>
            <w:pPr>
              <w:autoSpaceDE w:val="0"/>
              <w:autoSpaceDN w:val="0"/>
              <w:spacing w:line="360" w:lineRule="auto"/>
              <w:rPr>
                <w:rFonts w:hint="eastAsia" w:ascii="仿宋_GB2312" w:hAnsi="仿宋_GB2312" w:eastAsia="仿宋_GB2312" w:cs="仿宋_GB2312"/>
                <w:sz w:val="24"/>
                <w:szCs w:val="22"/>
                <w:lang w:eastAsia="en-US"/>
              </w:rPr>
            </w:pPr>
          </w:p>
        </w:tc>
        <w:tc>
          <w:tcPr>
            <w:tcW w:w="1843" w:type="dxa"/>
            <w:vAlign w:val="center"/>
          </w:tcPr>
          <w:p>
            <w:pPr>
              <w:autoSpaceDE w:val="0"/>
              <w:autoSpaceDN w:val="0"/>
              <w:spacing w:before="148"/>
              <w:ind w:left="145"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pH 值</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rPr>
                <w:rFonts w:hint="eastAsia" w:ascii="仿宋_GB2312" w:hAnsi="仿宋_GB2312" w:eastAsia="仿宋_GB2312" w:cs="仿宋_GB2312"/>
                <w:w w:val="99"/>
                <w:kern w:val="0"/>
                <w:sz w:val="24"/>
                <w:lang w:eastAsia="en-US"/>
              </w:rPr>
            </w:pPr>
            <w:r>
              <w:rPr>
                <w:rFonts w:hint="eastAsia" w:ascii="仿宋_GB2312" w:hAnsi="仿宋_GB2312" w:eastAsia="仿宋_GB2312" w:cs="仿宋_GB2312"/>
                <w:kern w:val="0"/>
                <w:sz w:val="24"/>
                <w:lang w:eastAsia="en-US"/>
              </w:rPr>
              <w:t>5</w:t>
            </w:r>
            <w:r>
              <w:rPr>
                <w:rFonts w:ascii="仿宋_GB2312" w:hAnsi="仿宋_GB2312" w:eastAsia="仿宋_GB2312" w:cs="仿宋_GB2312"/>
                <w:kern w:val="0"/>
                <w:sz w:val="24"/>
                <w:lang w:eastAsia="en-US"/>
              </w:rPr>
              <w:t>-1</w:t>
            </w:r>
            <w:r>
              <w:rPr>
                <w:rFonts w:hint="eastAsia" w:ascii="仿宋_GB2312" w:hAnsi="仿宋_GB2312" w:eastAsia="仿宋_GB2312" w:cs="仿宋_GB2312"/>
                <w:kern w:val="0"/>
                <w:sz w:val="24"/>
                <w:lang w:eastAsia="en-US"/>
              </w:rPr>
              <w:t>0（包括5、10）</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bl>
    <w:p>
      <w:pPr>
        <w:spacing w:line="360" w:lineRule="auto"/>
        <w:rPr>
          <w:rFonts w:hint="eastAsia" w:ascii="仿宋_GB2312" w:hAnsi="宋体" w:eastAsia="仿宋_GB2312" w:cs="宋体"/>
          <w:kern w:val="0"/>
          <w:sz w:val="24"/>
          <w:szCs w:val="22"/>
        </w:rPr>
      </w:pPr>
      <w:r>
        <w:rPr>
          <w:rFonts w:ascii="仿宋_GB2312" w:hAnsi="宋体" w:eastAsia="仿宋_GB2312" w:cs="宋体"/>
          <w:kern w:val="0"/>
          <w:sz w:val="24"/>
          <w:szCs w:val="22"/>
        </w:rPr>
        <w:t>记录人</w:t>
      </w:r>
      <w:r>
        <w:rPr>
          <w:rFonts w:hint="eastAsia" w:ascii="仿宋_GB2312" w:hAnsi="宋体" w:eastAsia="仿宋_GB2312" w:cs="宋体"/>
          <w:kern w:val="0"/>
          <w:sz w:val="24"/>
          <w:szCs w:val="22"/>
        </w:rPr>
        <w:t>：</w:t>
      </w:r>
    </w:p>
    <w:p>
      <w:pPr>
        <w:spacing w:line="360" w:lineRule="auto"/>
        <w:rPr>
          <w:rFonts w:hint="eastAsia" w:ascii="仿宋_GB2312" w:hAnsi="宋体" w:eastAsia="仿宋_GB2312" w:cs="宋体"/>
          <w:kern w:val="0"/>
          <w:sz w:val="24"/>
          <w:szCs w:val="22"/>
        </w:rPr>
      </w:pPr>
      <w:r>
        <w:rPr>
          <w:rFonts w:hint="eastAsia" w:ascii="仿宋_GB2312" w:hAnsi="宋体" w:eastAsia="仿宋_GB2312" w:cs="宋体"/>
          <w:kern w:val="0"/>
          <w:sz w:val="24"/>
          <w:szCs w:val="22"/>
        </w:rPr>
        <w:t xml:space="preserve">广州净水公司工作人员复核：                           </w:t>
      </w:r>
    </w:p>
    <w:p>
      <w:pPr>
        <w:rPr>
          <w:rFonts w:hint="eastAsia" w:ascii="仿宋_GB2312" w:hAnsi="宋体" w:cs="宋体"/>
          <w:kern w:val="0"/>
          <w:sz w:val="24"/>
        </w:rPr>
        <w:sectPr>
          <w:pgSz w:w="16838" w:h="11906" w:orient="landscape"/>
          <w:pgMar w:top="1800" w:right="1440" w:bottom="1800" w:left="1440" w:header="851" w:footer="992" w:gutter="0"/>
          <w:cols w:space="425" w:num="1"/>
          <w:docGrid w:type="lines" w:linePitch="312" w:charSpace="0"/>
        </w:sectPr>
      </w:pPr>
      <w:r>
        <w:rPr>
          <w:rFonts w:hint="eastAsia" w:ascii="仿宋_GB2312" w:hAnsi="宋体" w:eastAsia="仿宋_GB2312" w:cs="宋体"/>
          <w:kern w:val="0"/>
          <w:sz w:val="24"/>
          <w:szCs w:val="22"/>
        </w:rPr>
        <w:t>试验药剂厂商：</w:t>
      </w:r>
      <w:bookmarkStart w:id="72" w:name="_Hlk64732457"/>
    </w:p>
    <w:p>
      <w:pPr>
        <w:framePr w:hSpace="180" w:wrap="around" w:vAnchor="margin" w:hAnchor="margin" w:y="485"/>
        <w:widowControl/>
        <w:spacing w:line="360" w:lineRule="auto"/>
        <w:rPr>
          <w:rFonts w:hint="eastAsia" w:ascii="等线" w:hAnsi="等线" w:eastAsia="等线" w:cs="Times New Roman"/>
          <w:kern w:val="0"/>
          <w:sz w:val="20"/>
          <w:szCs w:val="20"/>
        </w:rPr>
      </w:pPr>
    </w:p>
    <w:p>
      <w:pPr>
        <w:snapToGrid w:val="0"/>
        <w:jc w:val="center"/>
        <w:rPr>
          <w:rFonts w:hint="eastAsia" w:ascii="方正小标宋简体" w:hAnsi="黑体" w:eastAsia="方正小标宋简体" w:cs="黑体"/>
          <w:sz w:val="44"/>
          <w:szCs w:val="44"/>
        </w:rPr>
      </w:pPr>
      <w:r>
        <w:rPr>
          <w:rFonts w:hint="eastAsia" w:ascii="方正小标宋简体" w:hAnsi="黑体" w:eastAsia="方正小标宋简体" w:cs="黑体"/>
          <w:sz w:val="44"/>
          <w:szCs w:val="44"/>
        </w:rPr>
        <w:t>表</w:t>
      </w:r>
      <w:r>
        <w:rPr>
          <w:rFonts w:ascii="方正小标宋简体" w:hAnsi="黑体" w:eastAsia="方正小标宋简体" w:cs="黑体"/>
          <w:sz w:val="44"/>
          <w:szCs w:val="44"/>
        </w:rPr>
        <w:t>2</w:t>
      </w:r>
      <w:r>
        <w:rPr>
          <w:rFonts w:hint="eastAsia" w:ascii="方正小标宋简体" w:hAnsi="黑体" w:eastAsia="方正小标宋简体" w:cs="黑体"/>
          <w:sz w:val="44"/>
          <w:szCs w:val="44"/>
        </w:rPr>
        <w:t>：</w:t>
      </w:r>
      <w:r>
        <w:rPr>
          <w:rFonts w:ascii="方正小标宋简体" w:hAnsi="黑体" w:eastAsia="方正小标宋简体" w:cs="黑体"/>
          <w:sz w:val="44"/>
          <w:szCs w:val="44"/>
        </w:rPr>
        <w:t>减量比核算表格</w:t>
      </w:r>
    </w:p>
    <w:p>
      <w:pPr>
        <w:spacing w:before="89"/>
        <w:ind w:left="80"/>
        <w:rPr>
          <w:rFonts w:ascii="方正小标宋简体" w:hAnsi="Arial" w:eastAsia="方正小标宋简体" w:cs="Arial"/>
          <w:sz w:val="44"/>
          <w:szCs w:val="44"/>
        </w:rPr>
      </w:pPr>
      <w:r>
        <w:rPr>
          <w:rFonts w:hint="eastAsia" w:ascii="仿宋_GB2312" w:hAnsi="Arial" w:eastAsia="仿宋_GB2312" w:cs="Arial"/>
          <w:sz w:val="32"/>
          <w:szCs w:val="32"/>
        </w:rPr>
        <w:t xml:space="preserve">    </w:t>
      </w:r>
      <w:r>
        <w:rPr>
          <w:rFonts w:ascii="仿宋_GB2312" w:hAnsi="Arial" w:eastAsia="仿宋_GB2312" w:cs="Arial"/>
          <w:sz w:val="32"/>
          <w:szCs w:val="32"/>
        </w:rPr>
        <w:t xml:space="preserve">      </w:t>
      </w:r>
      <w:r>
        <w:rPr>
          <w:rFonts w:hint="eastAsia" w:ascii="仿宋_GB2312" w:hAnsi="Arial" w:eastAsia="仿宋_GB2312" w:cs="Arial"/>
          <w:sz w:val="32"/>
          <w:szCs w:val="32"/>
        </w:rPr>
        <w:t xml:space="preserve">   </w:t>
      </w:r>
      <w:r>
        <w:rPr>
          <w:rFonts w:hint="eastAsia" w:ascii="仿宋_GB2312" w:hAnsi="Arial" w:eastAsia="仿宋_GB2312" w:cs="Arial"/>
          <w:sz w:val="32"/>
          <w:szCs w:val="32"/>
          <w:u w:val="single"/>
        </w:rPr>
        <w:t xml:space="preserve">        </w:t>
      </w:r>
      <w:r>
        <w:rPr>
          <w:rFonts w:ascii="仿宋_GB2312" w:hAnsi="Arial" w:eastAsia="仿宋_GB2312" w:cs="Arial"/>
          <w:sz w:val="32"/>
          <w:szCs w:val="32"/>
          <w:u w:val="single"/>
        </w:rPr>
        <w:t xml:space="preserve"> </w:t>
      </w:r>
      <w:r>
        <w:rPr>
          <w:rFonts w:hint="eastAsia" w:ascii="仿宋_GB2312" w:hAnsi="Arial" w:eastAsia="仿宋_GB2312" w:cs="Arial"/>
          <w:sz w:val="32"/>
          <w:szCs w:val="32"/>
          <w:u w:val="single"/>
        </w:rPr>
        <w:t xml:space="preserve"> </w:t>
      </w:r>
      <w:r>
        <w:rPr>
          <w:rFonts w:ascii="仿宋_GB2312" w:hAnsi="Arial" w:eastAsia="仿宋_GB2312" w:cs="Arial"/>
          <w:sz w:val="32"/>
          <w:szCs w:val="32"/>
          <w:u w:val="single"/>
        </w:rPr>
        <w:t xml:space="preserve">   </w:t>
      </w:r>
      <w:r>
        <w:rPr>
          <w:rFonts w:hint="eastAsia" w:ascii="仿宋_GB2312" w:hAnsi="Arial" w:eastAsia="仿宋_GB2312" w:cs="Arial"/>
          <w:sz w:val="32"/>
          <w:szCs w:val="32"/>
          <w:u w:val="single"/>
        </w:rPr>
        <w:t>药剂</w:t>
      </w:r>
      <w:r>
        <w:rPr>
          <w:rFonts w:hint="eastAsia" w:ascii="仿宋_GB2312" w:hAnsi="Arial" w:eastAsia="仿宋_GB2312" w:cs="Arial"/>
          <w:spacing w:val="-4"/>
          <w:sz w:val="32"/>
          <w:szCs w:val="32"/>
        </w:rPr>
        <w:t>减量比</w:t>
      </w:r>
      <w:r>
        <w:rPr>
          <w:rFonts w:hint="eastAsia" w:ascii="仿宋_GB2312" w:hAnsi="Arial" w:eastAsia="仿宋_GB2312" w:cs="Arial"/>
          <w:spacing w:val="-8"/>
          <w:sz w:val="32"/>
          <w:szCs w:val="32"/>
        </w:rPr>
        <w:t>考核评估</w:t>
      </w:r>
    </w:p>
    <w:tbl>
      <w:tblPr>
        <w:tblStyle w:val="16"/>
        <w:tblpPr w:leftFromText="180" w:rightFromText="180" w:vertAnchor="page" w:horzAnchor="margin" w:tblpY="4340"/>
        <w:tblW w:w="13598"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51"/>
        <w:gridCol w:w="950"/>
        <w:gridCol w:w="1988"/>
        <w:gridCol w:w="1913"/>
        <w:gridCol w:w="1985"/>
        <w:gridCol w:w="2551"/>
        <w:gridCol w:w="3260"/>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780" w:hRule="atLeast"/>
        </w:trPr>
        <w:tc>
          <w:tcPr>
            <w:tcW w:w="951"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序号</w:t>
            </w:r>
          </w:p>
        </w:tc>
        <w:tc>
          <w:tcPr>
            <w:tcW w:w="950"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时间</w:t>
            </w:r>
          </w:p>
        </w:tc>
        <w:tc>
          <w:tcPr>
            <w:tcW w:w="1988"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进泥密度（t/m</w:t>
            </w:r>
            <w:r>
              <w:rPr>
                <w:rFonts w:hint="eastAsia" w:ascii="仿宋_GB2312" w:hAnsi="等线" w:eastAsia="仿宋_GB2312" w:cs="Times New Roman"/>
                <w:b/>
                <w:bCs/>
                <w:sz w:val="28"/>
                <w:szCs w:val="28"/>
                <w:vertAlign w:val="superscript"/>
              </w:rPr>
              <w:t>3</w:t>
            </w:r>
            <w:r>
              <w:rPr>
                <w:rFonts w:hint="eastAsia" w:ascii="仿宋_GB2312" w:hAnsi="等线" w:eastAsia="仿宋_GB2312" w:cs="Times New Roman"/>
                <w:b/>
                <w:bCs/>
                <w:sz w:val="28"/>
                <w:szCs w:val="28"/>
              </w:rPr>
              <w:t>）</w:t>
            </w:r>
          </w:p>
        </w:tc>
        <w:tc>
          <w:tcPr>
            <w:tcW w:w="1913"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进泥体积（m</w:t>
            </w:r>
            <w:r>
              <w:rPr>
                <w:rFonts w:hint="eastAsia" w:ascii="仿宋_GB2312" w:hAnsi="等线" w:eastAsia="仿宋_GB2312" w:cs="Times New Roman"/>
                <w:b/>
                <w:bCs/>
                <w:sz w:val="28"/>
                <w:szCs w:val="28"/>
                <w:vertAlign w:val="superscript"/>
              </w:rPr>
              <w:t>3</w:t>
            </w:r>
            <w:r>
              <w:rPr>
                <w:rFonts w:hint="eastAsia" w:ascii="仿宋_GB2312" w:hAnsi="等线" w:eastAsia="仿宋_GB2312" w:cs="Times New Roman"/>
                <w:b/>
                <w:bCs/>
                <w:sz w:val="28"/>
                <w:szCs w:val="28"/>
              </w:rPr>
              <w:t>）</w:t>
            </w:r>
          </w:p>
        </w:tc>
        <w:tc>
          <w:tcPr>
            <w:tcW w:w="1985" w:type="dxa"/>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进泥含水率</w:t>
            </w:r>
          </w:p>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w:t>
            </w:r>
          </w:p>
        </w:tc>
        <w:tc>
          <w:tcPr>
            <w:tcW w:w="2551"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干泥过磅重量（t）</w:t>
            </w:r>
          </w:p>
        </w:tc>
        <w:tc>
          <w:tcPr>
            <w:tcW w:w="3260"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污泥重量减量比（%）</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6"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1</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restart"/>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87"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2</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87"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3</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87"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4</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87"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5</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80"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ascii="仿宋_GB2312" w:hAnsi="等线" w:eastAsia="仿宋_GB2312" w:cs="Times New Roman"/>
                <w:sz w:val="28"/>
                <w:szCs w:val="28"/>
              </w:rPr>
              <w:t>6</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bl>
    <w:p>
      <w:pPr>
        <w:spacing w:line="360" w:lineRule="auto"/>
        <w:rPr>
          <w:rFonts w:hint="eastAsia" w:ascii="仿宋_GB2312" w:hAnsi="宋体" w:eastAsia="仿宋_GB2312" w:cs="宋体"/>
          <w:spacing w:val="-4"/>
          <w:kern w:val="0"/>
          <w:sz w:val="32"/>
          <w:szCs w:val="32"/>
        </w:rPr>
      </w:pPr>
      <w:r>
        <w:rPr>
          <w:rFonts w:hint="eastAsia" w:ascii="仿宋_GB2312" w:hAnsi="宋体" w:eastAsia="仿宋_GB2312" w:cs="宋体"/>
          <w:spacing w:val="-4"/>
          <w:kern w:val="0"/>
          <w:sz w:val="32"/>
          <w:szCs w:val="32"/>
        </w:rPr>
        <w:t xml:space="preserve">广州净水公司工作人员： </w:t>
      </w:r>
      <w:r>
        <w:rPr>
          <w:rFonts w:ascii="仿宋_GB2312" w:hAnsi="宋体" w:eastAsia="仿宋_GB2312" w:cs="宋体"/>
          <w:spacing w:val="-4"/>
          <w:kern w:val="0"/>
          <w:sz w:val="32"/>
          <w:szCs w:val="32"/>
        </w:rPr>
        <w:t xml:space="preserve">        </w:t>
      </w:r>
      <w:r>
        <w:rPr>
          <w:rFonts w:hint="eastAsia" w:ascii="仿宋_GB2312" w:hAnsi="宋体" w:eastAsia="仿宋_GB2312" w:cs="宋体"/>
          <w:spacing w:val="-4"/>
          <w:kern w:val="0"/>
          <w:sz w:val="32"/>
          <w:szCs w:val="32"/>
        </w:rPr>
        <w:t xml:space="preserve"> </w:t>
      </w:r>
      <w:r>
        <w:rPr>
          <w:rFonts w:ascii="仿宋_GB2312" w:hAnsi="宋体" w:eastAsia="仿宋_GB2312" w:cs="宋体"/>
          <w:spacing w:val="-4"/>
          <w:kern w:val="0"/>
          <w:sz w:val="32"/>
          <w:szCs w:val="32"/>
        </w:rPr>
        <w:t xml:space="preserve">         </w:t>
      </w:r>
    </w:p>
    <w:p>
      <w:pPr>
        <w:spacing w:line="360" w:lineRule="auto"/>
        <w:rPr>
          <w:rFonts w:hint="eastAsia" w:ascii="宋体" w:hAnsi="宋体" w:eastAsia="仿宋_GB2312" w:cs="宋体"/>
          <w:kern w:val="0"/>
          <w:sz w:val="24"/>
          <w:szCs w:val="22"/>
        </w:rPr>
      </w:pPr>
      <w:r>
        <w:rPr>
          <w:rFonts w:hint="eastAsia" w:ascii="仿宋_GB2312" w:hAnsi="宋体" w:eastAsia="仿宋_GB2312" w:cs="宋体"/>
          <w:spacing w:val="-4"/>
          <w:kern w:val="0"/>
          <w:sz w:val="32"/>
          <w:szCs w:val="32"/>
        </w:rPr>
        <w:t xml:space="preserve">试验药剂厂商： </w:t>
      </w:r>
      <w:r>
        <w:rPr>
          <w:rFonts w:ascii="仿宋_GB2312" w:hAnsi="宋体" w:eastAsia="仿宋_GB2312" w:cs="宋体"/>
          <w:spacing w:val="-4"/>
          <w:kern w:val="0"/>
          <w:sz w:val="32"/>
          <w:szCs w:val="32"/>
        </w:rPr>
        <w:t xml:space="preserve">  </w:t>
      </w:r>
      <w:r>
        <w:rPr>
          <w:rFonts w:ascii="宋体" w:hAnsi="宋体" w:eastAsia="仿宋_GB2312" w:cs="宋体"/>
          <w:kern w:val="0"/>
          <w:sz w:val="24"/>
          <w:szCs w:val="22"/>
        </w:rPr>
        <w:t xml:space="preserve">       </w:t>
      </w:r>
      <w:r>
        <w:rPr>
          <w:rFonts w:hint="eastAsia" w:ascii="宋体" w:hAnsi="宋体" w:eastAsia="仿宋_GB2312" w:cs="宋体"/>
          <w:kern w:val="0"/>
          <w:sz w:val="24"/>
          <w:szCs w:val="22"/>
        </w:rPr>
        <w:t xml:space="preserve"> </w:t>
      </w:r>
      <w:r>
        <w:rPr>
          <w:rFonts w:ascii="宋体" w:hAnsi="宋体" w:eastAsia="仿宋_GB2312" w:cs="宋体"/>
          <w:kern w:val="0"/>
          <w:sz w:val="24"/>
          <w:szCs w:val="22"/>
        </w:rPr>
        <w:t xml:space="preserve">         </w:t>
      </w:r>
      <w:r>
        <w:rPr>
          <w:rFonts w:hint="eastAsia" w:ascii="宋体" w:hAnsi="宋体" w:eastAsia="仿宋_GB2312" w:cs="宋体"/>
          <w:kern w:val="0"/>
          <w:sz w:val="24"/>
          <w:szCs w:val="22"/>
        </w:rPr>
        <w:t xml:space="preserve"> </w:t>
      </w:r>
      <w:r>
        <w:rPr>
          <w:rFonts w:ascii="宋体" w:hAnsi="宋体" w:eastAsia="仿宋_GB2312" w:cs="宋体"/>
          <w:kern w:val="0"/>
          <w:sz w:val="24"/>
          <w:szCs w:val="22"/>
        </w:rPr>
        <w:t xml:space="preserve">         </w:t>
      </w:r>
    </w:p>
    <w:p>
      <w:pPr>
        <w:snapToGrid w:val="0"/>
        <w:jc w:val="center"/>
        <w:rPr>
          <w:rFonts w:hint="eastAsia" w:ascii="方正小标宋简体" w:hAnsi="黑体" w:eastAsia="方正小标宋简体" w:cs="黑体"/>
          <w:sz w:val="44"/>
          <w:szCs w:val="44"/>
        </w:rPr>
      </w:pPr>
      <w:r>
        <w:rPr>
          <w:rFonts w:hint="eastAsia" w:ascii="方正小标宋简体" w:hAnsi="黑体" w:eastAsia="方正小标宋简体" w:cs="黑体"/>
          <w:sz w:val="44"/>
          <w:szCs w:val="44"/>
        </w:rPr>
        <w:t xml:space="preserve">表 </w:t>
      </w:r>
      <w:r>
        <w:rPr>
          <w:rFonts w:ascii="方正小标宋简体" w:hAnsi="黑体" w:eastAsia="方正小标宋简体" w:cs="黑体"/>
          <w:sz w:val="44"/>
          <w:szCs w:val="44"/>
        </w:rPr>
        <w:t>3</w:t>
      </w:r>
      <w:r>
        <w:rPr>
          <w:rFonts w:hint="eastAsia" w:ascii="方正小标宋简体" w:hAnsi="黑体" w:eastAsia="方正小标宋简体" w:cs="黑体"/>
          <w:sz w:val="44"/>
          <w:szCs w:val="44"/>
        </w:rPr>
        <w:t>：药剂投加量、药剂含固记录</w:t>
      </w:r>
      <w:r>
        <w:rPr>
          <w:rFonts w:ascii="方正小标宋简体" w:hAnsi="黑体" w:eastAsia="方正小标宋简体" w:cs="黑体"/>
          <w:sz w:val="44"/>
          <w:szCs w:val="44"/>
        </w:rPr>
        <w:t>表格</w:t>
      </w:r>
    </w:p>
    <w:p>
      <w:pPr>
        <w:tabs>
          <w:tab w:val="left" w:pos="3810"/>
        </w:tabs>
        <w:spacing w:before="217" w:beforeLines="50" w:after="48"/>
        <w:rPr>
          <w:rFonts w:ascii="仿宋_GB2312" w:hAnsi="Arial" w:eastAsia="仿宋_GB2312" w:cs="Arial"/>
          <w:spacing w:val="-8"/>
          <w:sz w:val="32"/>
          <w:szCs w:val="32"/>
        </w:rPr>
      </w:pPr>
      <w:r>
        <w:rPr>
          <w:rFonts w:hint="eastAsia" w:ascii="仿宋_GB2312" w:hAnsi="Arial" w:eastAsia="仿宋_GB2312" w:cs="Arial"/>
          <w:sz w:val="32"/>
          <w:szCs w:val="32"/>
          <w:u w:val="single"/>
        </w:rPr>
        <w:t xml:space="preserve">        </w:t>
      </w:r>
      <w:r>
        <w:rPr>
          <w:rFonts w:ascii="仿宋_GB2312" w:hAnsi="Arial" w:eastAsia="仿宋_GB2312" w:cs="Arial"/>
          <w:sz w:val="32"/>
          <w:szCs w:val="32"/>
          <w:u w:val="single"/>
        </w:rPr>
        <w:t xml:space="preserve"> </w:t>
      </w:r>
      <w:r>
        <w:rPr>
          <w:rFonts w:hint="eastAsia" w:ascii="仿宋_GB2312" w:hAnsi="Arial" w:eastAsia="仿宋_GB2312" w:cs="Arial"/>
          <w:sz w:val="32"/>
          <w:szCs w:val="32"/>
          <w:u w:val="single"/>
        </w:rPr>
        <w:t xml:space="preserve"> </w:t>
      </w:r>
      <w:r>
        <w:rPr>
          <w:rFonts w:ascii="仿宋_GB2312" w:hAnsi="Arial" w:eastAsia="仿宋_GB2312" w:cs="Arial"/>
          <w:sz w:val="32"/>
          <w:szCs w:val="32"/>
          <w:u w:val="single"/>
        </w:rPr>
        <w:t xml:space="preserve">   </w:t>
      </w:r>
      <w:r>
        <w:rPr>
          <w:rFonts w:hint="eastAsia" w:ascii="仿宋_GB2312" w:hAnsi="Arial" w:eastAsia="仿宋_GB2312" w:cs="Arial"/>
          <w:sz w:val="32"/>
          <w:szCs w:val="32"/>
          <w:u w:val="single"/>
        </w:rPr>
        <w:t>药剂</w:t>
      </w:r>
      <w:r>
        <w:rPr>
          <w:rFonts w:hint="eastAsia" w:ascii="仿宋_GB2312" w:hAnsi="Arial" w:eastAsia="仿宋_GB2312" w:cs="Arial"/>
          <w:spacing w:val="-4"/>
          <w:sz w:val="32"/>
          <w:szCs w:val="32"/>
        </w:rPr>
        <w:t>试验记录</w:t>
      </w:r>
    </w:p>
    <w:p>
      <w:pPr>
        <w:tabs>
          <w:tab w:val="left" w:pos="3810"/>
        </w:tabs>
        <w:spacing w:before="217" w:beforeLines="50" w:after="48"/>
        <w:rPr>
          <w:rFonts w:ascii="仿宋_GB2312" w:hAnsi="Arial" w:eastAsia="仿宋_GB2312" w:cs="Arial"/>
          <w:spacing w:val="-8"/>
          <w:sz w:val="24"/>
        </w:rPr>
      </w:pPr>
      <w:r>
        <w:rPr>
          <w:rFonts w:hint="eastAsia" w:ascii="仿宋_GB2312" w:hAnsi="Arial" w:eastAsia="仿宋_GB2312" w:cs="Arial"/>
          <w:spacing w:val="-8"/>
          <w:sz w:val="24"/>
        </w:rPr>
        <w:t xml:space="preserve">试验日期： </w:t>
      </w:r>
    </w:p>
    <w:tbl>
      <w:tblPr>
        <w:tblStyle w:val="15"/>
        <w:tblW w:w="13606" w:type="dxa"/>
        <w:tblInd w:w="0" w:type="dxa"/>
        <w:tblLayout w:type="fixed"/>
        <w:tblCellMar>
          <w:top w:w="0" w:type="dxa"/>
          <w:left w:w="108" w:type="dxa"/>
          <w:bottom w:w="0" w:type="dxa"/>
          <w:right w:w="108" w:type="dxa"/>
        </w:tblCellMar>
      </w:tblPr>
      <w:tblGrid>
        <w:gridCol w:w="988"/>
        <w:gridCol w:w="1701"/>
        <w:gridCol w:w="1701"/>
        <w:gridCol w:w="1417"/>
        <w:gridCol w:w="1418"/>
        <w:gridCol w:w="1559"/>
        <w:gridCol w:w="1559"/>
        <w:gridCol w:w="1559"/>
        <w:gridCol w:w="1704"/>
      </w:tblGrid>
      <w:tr>
        <w:tblPrEx>
          <w:tblCellMar>
            <w:top w:w="0" w:type="dxa"/>
            <w:left w:w="108" w:type="dxa"/>
            <w:bottom w:w="0" w:type="dxa"/>
            <w:right w:w="108" w:type="dxa"/>
          </w:tblCellMar>
        </w:tblPrEx>
        <w:trPr>
          <w:trHeight w:val="510" w:hRule="atLeast"/>
        </w:trPr>
        <w:tc>
          <w:tcPr>
            <w:tcW w:w="98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时间</w:t>
            </w:r>
          </w:p>
        </w:tc>
        <w:tc>
          <w:tcPr>
            <w:tcW w:w="1701"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进泥前流量计读数（m</w:t>
            </w:r>
            <w:r>
              <w:rPr>
                <w:rFonts w:hint="eastAsia" w:ascii="仿宋_GB2312" w:hAnsi="宋体" w:eastAsia="仿宋_GB2312" w:cs="宋体"/>
                <w:b/>
                <w:bCs/>
                <w:kern w:val="0"/>
                <w:sz w:val="24"/>
                <w:szCs w:val="22"/>
                <w:vertAlign w:val="superscript"/>
              </w:rPr>
              <w:t>3</w:t>
            </w:r>
            <w:r>
              <w:rPr>
                <w:rFonts w:hint="eastAsia" w:ascii="仿宋_GB2312" w:hAnsi="宋体" w:eastAsia="仿宋_GB2312" w:cs="宋体"/>
                <w:b/>
                <w:bCs/>
                <w:kern w:val="0"/>
                <w:sz w:val="24"/>
                <w:szCs w:val="22"/>
              </w:rPr>
              <w:t>）</w:t>
            </w:r>
          </w:p>
        </w:tc>
        <w:tc>
          <w:tcPr>
            <w:tcW w:w="1701"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进泥完毕流量计读数（m</w:t>
            </w:r>
            <w:r>
              <w:rPr>
                <w:rFonts w:hint="eastAsia" w:ascii="仿宋_GB2312" w:hAnsi="宋体" w:eastAsia="仿宋_GB2312" w:cs="宋体"/>
                <w:b/>
                <w:bCs/>
                <w:kern w:val="0"/>
                <w:sz w:val="24"/>
                <w:szCs w:val="22"/>
                <w:vertAlign w:val="superscript"/>
              </w:rPr>
              <w:t>3</w:t>
            </w:r>
            <w:r>
              <w:rPr>
                <w:rFonts w:hint="eastAsia" w:ascii="仿宋_GB2312" w:hAnsi="宋体" w:eastAsia="仿宋_GB2312" w:cs="宋体"/>
                <w:b/>
                <w:bCs/>
                <w:kern w:val="0"/>
                <w:sz w:val="24"/>
                <w:szCs w:val="22"/>
              </w:rPr>
              <w:t>）</w:t>
            </w:r>
          </w:p>
        </w:tc>
        <w:tc>
          <w:tcPr>
            <w:tcW w:w="1417"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干泥过磅重量（t）</w:t>
            </w:r>
          </w:p>
        </w:tc>
        <w:tc>
          <w:tcPr>
            <w:tcW w:w="1418"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药剂添加量记录</w:t>
            </w: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药剂含固率</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污泥含固率</w:t>
            </w: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记录人</w:t>
            </w:r>
          </w:p>
        </w:tc>
        <w:tc>
          <w:tcPr>
            <w:tcW w:w="1704"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试验药剂厂商确认</w:t>
            </w: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701" w:type="dxa"/>
            <w:tcBorders>
              <w:top w:val="nil"/>
              <w:left w:val="nil"/>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701" w:type="dxa"/>
            <w:tcBorders>
              <w:top w:val="nil"/>
              <w:left w:val="nil"/>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417" w:type="dxa"/>
            <w:tcBorders>
              <w:top w:val="nil"/>
              <w:left w:val="nil"/>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418" w:type="dxa"/>
            <w:tcBorders>
              <w:top w:val="nil"/>
              <w:left w:val="nil"/>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Times New Roman"/>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Times New Roman"/>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bl>
    <w:p>
      <w:pPr>
        <w:snapToGrid w:val="0"/>
        <w:rPr>
          <w:rFonts w:hint="eastAsia" w:ascii="方正小标宋简体" w:hAnsi="黑体" w:eastAsia="方正小标宋简体" w:cs="黑体"/>
          <w:sz w:val="44"/>
          <w:szCs w:val="44"/>
        </w:rPr>
      </w:pPr>
    </w:p>
    <w:p>
      <w:pPr>
        <w:snapToGrid w:val="0"/>
        <w:jc w:val="center"/>
        <w:rPr>
          <w:rFonts w:hint="eastAsia" w:ascii="方正小标宋简体" w:hAnsi="黑体" w:eastAsia="方正小标宋简体" w:cs="黑体"/>
          <w:sz w:val="44"/>
          <w:szCs w:val="44"/>
        </w:rPr>
      </w:pPr>
      <w:r>
        <w:rPr>
          <w:rFonts w:hint="eastAsia" w:ascii="方正小标宋简体" w:hAnsi="黑体" w:eastAsia="方正小标宋简体" w:cs="黑体"/>
          <w:sz w:val="44"/>
          <w:szCs w:val="44"/>
        </w:rPr>
        <w:t xml:space="preserve">表 </w:t>
      </w:r>
      <w:r>
        <w:rPr>
          <w:rFonts w:ascii="方正小标宋简体" w:hAnsi="黑体" w:eastAsia="方正小标宋简体" w:cs="黑体"/>
          <w:sz w:val="44"/>
          <w:szCs w:val="44"/>
        </w:rPr>
        <w:t>4</w:t>
      </w:r>
      <w:r>
        <w:rPr>
          <w:rFonts w:hint="eastAsia" w:ascii="方正小标宋简体" w:hAnsi="黑体" w:eastAsia="方正小标宋简体" w:cs="黑体"/>
          <w:sz w:val="44"/>
          <w:szCs w:val="44"/>
        </w:rPr>
        <w:t>：</w:t>
      </w:r>
      <w:bookmarkStart w:id="73" w:name="_Hlk65156868"/>
      <w:r>
        <w:rPr>
          <w:rFonts w:hint="eastAsia" w:ascii="方正小标宋简体" w:hAnsi="黑体" w:eastAsia="方正小标宋简体" w:cs="黑体"/>
          <w:sz w:val="44"/>
          <w:szCs w:val="44"/>
        </w:rPr>
        <w:t>生产性试验正式考核期考核评估表</w:t>
      </w:r>
    </w:p>
    <w:bookmarkEnd w:id="73"/>
    <w:p>
      <w:pPr>
        <w:tabs>
          <w:tab w:val="left" w:pos="3181"/>
          <w:tab w:val="left" w:pos="3704"/>
          <w:tab w:val="left" w:pos="4335"/>
          <w:tab w:val="left" w:pos="5070"/>
          <w:tab w:val="left" w:pos="5595"/>
          <w:tab w:val="left" w:pos="6121"/>
        </w:tabs>
        <w:spacing w:before="91"/>
        <w:rPr>
          <w:rFonts w:ascii="仿宋_GB2312" w:hAnsi="Arial" w:eastAsia="仿宋_GB2312" w:cs="Arial"/>
          <w:spacing w:val="-8"/>
          <w:sz w:val="28"/>
          <w:szCs w:val="32"/>
        </w:rPr>
      </w:pPr>
      <w:r>
        <w:rPr>
          <w:rFonts w:hint="eastAsia" w:ascii="仿宋_GB2312" w:hAnsi="Arial" w:eastAsia="仿宋_GB2312" w:cs="Arial"/>
          <w:sz w:val="28"/>
          <w:szCs w:val="32"/>
          <w:u w:val="single"/>
        </w:rPr>
        <w:t xml:space="preserve">     年  月  日至  </w:t>
      </w:r>
      <w:r>
        <w:rPr>
          <w:rFonts w:ascii="仿宋_GB2312" w:hAnsi="Arial" w:eastAsia="仿宋_GB2312" w:cs="Arial"/>
          <w:sz w:val="28"/>
          <w:szCs w:val="32"/>
          <w:u w:val="single"/>
        </w:rPr>
        <w:t xml:space="preserve"> </w:t>
      </w:r>
      <w:r>
        <w:rPr>
          <w:rFonts w:hint="eastAsia" w:ascii="仿宋_GB2312" w:hAnsi="Arial" w:eastAsia="仿宋_GB2312" w:cs="Arial"/>
          <w:sz w:val="28"/>
          <w:szCs w:val="32"/>
          <w:u w:val="single"/>
        </w:rPr>
        <w:t xml:space="preserve">  年  月  日              </w:t>
      </w:r>
      <w:r>
        <w:rPr>
          <w:rFonts w:ascii="仿宋_GB2312" w:hAnsi="Arial" w:eastAsia="仿宋_GB2312" w:cs="Arial"/>
          <w:sz w:val="28"/>
          <w:szCs w:val="32"/>
          <w:u w:val="single"/>
        </w:rPr>
        <w:t xml:space="preserve"> </w:t>
      </w:r>
      <w:r>
        <w:rPr>
          <w:rFonts w:hint="eastAsia" w:ascii="仿宋_GB2312" w:hAnsi="Arial" w:eastAsia="仿宋_GB2312" w:cs="Arial"/>
          <w:sz w:val="28"/>
          <w:szCs w:val="32"/>
          <w:u w:val="single"/>
        </w:rPr>
        <w:t xml:space="preserve"> </w:t>
      </w:r>
      <w:r>
        <w:rPr>
          <w:rFonts w:ascii="仿宋_GB2312" w:hAnsi="Arial" w:eastAsia="仿宋_GB2312" w:cs="Arial"/>
          <w:sz w:val="28"/>
          <w:szCs w:val="32"/>
          <w:u w:val="single"/>
        </w:rPr>
        <w:t xml:space="preserve"> </w:t>
      </w:r>
      <w:r>
        <w:rPr>
          <w:rFonts w:hint="eastAsia" w:ascii="仿宋_GB2312" w:hAnsi="Arial" w:eastAsia="仿宋_GB2312" w:cs="Arial"/>
          <w:sz w:val="28"/>
          <w:szCs w:val="32"/>
          <w:u w:val="single"/>
        </w:rPr>
        <w:t xml:space="preserve"> </w:t>
      </w:r>
      <w:r>
        <w:rPr>
          <w:rFonts w:ascii="仿宋_GB2312" w:hAnsi="Arial" w:eastAsia="仿宋_GB2312" w:cs="Arial"/>
          <w:sz w:val="28"/>
          <w:szCs w:val="32"/>
          <w:u w:val="single"/>
        </w:rPr>
        <w:t xml:space="preserve">                      </w:t>
      </w:r>
      <w:r>
        <w:rPr>
          <w:rFonts w:hint="eastAsia" w:ascii="仿宋_GB2312" w:hAnsi="Arial" w:eastAsia="仿宋_GB2312" w:cs="Arial"/>
          <w:sz w:val="28"/>
          <w:szCs w:val="32"/>
          <w:u w:val="single"/>
        </w:rPr>
        <w:t>生产性试验</w:t>
      </w:r>
      <w:r>
        <w:rPr>
          <w:rFonts w:hint="eastAsia" w:ascii="仿宋_GB2312" w:hAnsi="Arial" w:eastAsia="仿宋_GB2312" w:cs="Arial"/>
          <w:spacing w:val="-4"/>
          <w:sz w:val="28"/>
          <w:szCs w:val="32"/>
        </w:rPr>
        <w:t>正式考核期</w:t>
      </w:r>
      <w:r>
        <w:rPr>
          <w:rFonts w:hint="eastAsia" w:ascii="仿宋_GB2312" w:hAnsi="Arial" w:eastAsia="仿宋_GB2312" w:cs="Arial"/>
          <w:spacing w:val="-8"/>
          <w:sz w:val="28"/>
          <w:szCs w:val="32"/>
        </w:rPr>
        <w:t>考核评估</w:t>
      </w:r>
    </w:p>
    <w:tbl>
      <w:tblPr>
        <w:tblStyle w:val="15"/>
        <w:tblW w:w="141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985"/>
        <w:gridCol w:w="1559"/>
        <w:gridCol w:w="1843"/>
        <w:gridCol w:w="8093"/>
        <w:gridCol w:w="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56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序号</w:t>
            </w:r>
          </w:p>
        </w:tc>
        <w:tc>
          <w:tcPr>
            <w:tcW w:w="1985"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项目</w:t>
            </w:r>
          </w:p>
        </w:tc>
        <w:tc>
          <w:tcPr>
            <w:tcW w:w="1559"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单位</w:t>
            </w:r>
          </w:p>
        </w:tc>
        <w:tc>
          <w:tcPr>
            <w:tcW w:w="1843"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考核结果/数值</w:t>
            </w:r>
          </w:p>
        </w:tc>
        <w:tc>
          <w:tcPr>
            <w:tcW w:w="8093"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一</w:t>
            </w:r>
          </w:p>
        </w:tc>
        <w:tc>
          <w:tcPr>
            <w:tcW w:w="13487" w:type="dxa"/>
            <w:gridSpan w:val="5"/>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委托检测的指标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1.1</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正式考核期产量</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绝干基日产量不少于7.5吨/天，评定为“合格”。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1.2</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含水率</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每批次进、出泥一测。检测方法按照CJ/T 221-2005含水率分析方法。所有批次的出泥含水率在30%～40%之间。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1.3</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pH</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每批次出泥一测。检测方法按照CJ/T 221-2005 pH值分析方法。所有批次的出泥pH值在5-10之间。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1.4</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重金属</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每日进、出泥一测。监测分析方法按照CJ/T 221-2005重金属监测分析方法。要求所有处理后的污泥重金属含量日均值均低于处理前含量。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1.5</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污泥（总量）</w:t>
            </w:r>
          </w:p>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减量比</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净水公司人员现场记录该班次污泥的进泥泥量(W1)和出泥泥量（M2）计算污泥（重量）减量比，持续5天。要求5日内经处理后污泥（重量）减量比均≥60%。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1.6</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氯离子</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每批次出泥一测。监测分析方法依据《土壤氯离子含量的测定》电位滴定法NY/T 1378-2007。要求所有处理后的污泥氯离子浓度≤0.55×10</w:t>
            </w:r>
            <w:r>
              <w:rPr>
                <w:rFonts w:hint="eastAsia" w:ascii="仿宋_GB2312" w:hAnsi="等线" w:eastAsia="仿宋_GB2312" w:cs="Times New Roman"/>
                <w:sz w:val="24"/>
                <w:szCs w:val="21"/>
                <w:vertAlign w:val="superscript"/>
              </w:rPr>
              <w:t>4</w:t>
            </w:r>
            <w:r>
              <w:rPr>
                <w:rFonts w:hint="eastAsia" w:ascii="仿宋_GB2312" w:hAnsi="等线" w:eastAsia="仿宋_GB2312" w:cs="Times New Roman"/>
                <w:sz w:val="24"/>
                <w:szCs w:val="21"/>
              </w:rPr>
              <w:t>mg/kg。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1.7</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颗粒度</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0"/>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每日出泥一测。采用筛孔直径为30 mm的圆孔试验筛，筛上物质量比例＜20%；采用筛孔直径为50 mm的圆孔试验筛，不应存在筛上物，筛上物达标，评定为“合格”。</w:t>
            </w:r>
          </w:p>
        </w:tc>
      </w:tr>
    </w:tbl>
    <w:p>
      <w:pPr>
        <w:spacing w:line="360" w:lineRule="auto"/>
        <w:rPr>
          <w:rFonts w:hint="eastAsia" w:ascii="仿宋_GB2312" w:hAnsi="等线" w:eastAsia="仿宋_GB2312" w:cs="Times New Roman"/>
          <w:b/>
          <w:sz w:val="32"/>
          <w:szCs w:val="32"/>
        </w:rPr>
      </w:pPr>
      <w:r>
        <w:rPr>
          <w:rFonts w:hint="eastAsia" w:ascii="仿宋_GB2312" w:hAnsi="等线" w:eastAsia="仿宋_GB2312" w:cs="Times New Roman"/>
          <w:b/>
          <w:sz w:val="32"/>
          <w:szCs w:val="32"/>
        </w:rPr>
        <w:t>考核结果：</w:t>
      </w:r>
    </w:p>
    <w:p>
      <w:pPr>
        <w:spacing w:line="360" w:lineRule="auto"/>
        <w:rPr>
          <w:rFonts w:hint="eastAsia" w:ascii="仿宋_GB2312" w:hAnsi="等线" w:eastAsia="仿宋_GB2312" w:cs="Times New Roman"/>
          <w:b/>
          <w:sz w:val="32"/>
          <w:szCs w:val="32"/>
        </w:rPr>
      </w:pPr>
      <w:r>
        <w:rPr>
          <w:rFonts w:hint="eastAsia" w:ascii="仿宋_GB2312" w:hAnsi="等线" w:eastAsia="仿宋_GB2312" w:cs="Times New Roman"/>
          <w:b/>
          <w:sz w:val="32"/>
          <w:szCs w:val="32"/>
        </w:rPr>
        <w:t>考核组组长签名：</w:t>
      </w:r>
    </w:p>
    <w:p>
      <w:pPr>
        <w:spacing w:line="360" w:lineRule="auto"/>
        <w:rPr>
          <w:rFonts w:hint="eastAsia" w:ascii="仿宋_GB2312" w:hAnsi="等线" w:eastAsia="仿宋_GB2312" w:cs="Times New Roman"/>
          <w:b/>
          <w:sz w:val="32"/>
          <w:szCs w:val="32"/>
        </w:rPr>
      </w:pPr>
      <w:r>
        <w:rPr>
          <w:rFonts w:hint="eastAsia" w:ascii="仿宋_GB2312" w:hAnsi="等线" w:eastAsia="仿宋_GB2312" w:cs="Times New Roman"/>
          <w:b/>
          <w:sz w:val="32"/>
          <w:szCs w:val="32"/>
        </w:rPr>
        <w:t>考核组副组长签名：</w:t>
      </w:r>
    </w:p>
    <w:p>
      <w:pPr>
        <w:spacing w:line="360" w:lineRule="auto"/>
        <w:rPr>
          <w:rFonts w:hint="eastAsia" w:ascii="仿宋_GB2312" w:hAnsi="等线" w:eastAsia="仿宋_GB2312" w:cs="Times New Roman"/>
          <w:b/>
          <w:sz w:val="32"/>
          <w:szCs w:val="32"/>
        </w:rPr>
      </w:pPr>
      <w:r>
        <w:rPr>
          <w:rFonts w:hint="eastAsia" w:ascii="仿宋_GB2312" w:hAnsi="等线" w:eastAsia="仿宋_GB2312" w:cs="Times New Roman"/>
          <w:b/>
          <w:sz w:val="32"/>
          <w:szCs w:val="32"/>
        </w:rPr>
        <w:t>考核组人员签名：</w:t>
      </w:r>
    </w:p>
    <w:bookmarkEnd w:id="72"/>
    <w:p>
      <w:pPr>
        <w:widowControl/>
        <w:spacing w:line="360" w:lineRule="auto"/>
        <w:rPr>
          <w:rFonts w:hint="eastAsia" w:ascii="等线" w:hAnsi="等线" w:eastAsia="仿宋_GB2312" w:cs="Times New Roman"/>
          <w:sz w:val="32"/>
          <w:szCs w:val="32"/>
        </w:rPr>
      </w:pPr>
    </w:p>
    <w:p>
      <w:pPr>
        <w:widowControl/>
        <w:spacing w:line="360" w:lineRule="auto"/>
        <w:rPr>
          <w:rFonts w:hint="eastAsia" w:ascii="仿宋_GB2312" w:hAnsi="等线" w:eastAsia="仿宋_GB2312" w:cs="Times New Roman"/>
          <w:sz w:val="32"/>
          <w:szCs w:val="32"/>
        </w:rPr>
      </w:pPr>
      <w:r>
        <w:rPr>
          <w:rFonts w:hint="eastAsia" w:ascii="仿宋_GB2312" w:hAnsi="等线" w:eastAsia="仿宋_GB2312" w:cs="Times New Roman"/>
          <w:sz w:val="28"/>
          <w:szCs w:val="32"/>
        </w:rPr>
        <w:t>2021年   月   日</w:t>
      </w:r>
    </w:p>
    <w:p>
      <w:pPr>
        <w:spacing w:line="360" w:lineRule="auto"/>
        <w:rPr>
          <w:rFonts w:hint="eastAsia" w:ascii="黑体" w:hAnsi="黑体" w:eastAsia="黑体" w:cs="方正小标宋简体"/>
          <w:b/>
          <w:bCs/>
          <w:spacing w:val="28"/>
          <w:sz w:val="32"/>
          <w:szCs w:val="32"/>
        </w:rPr>
      </w:pPr>
    </w:p>
    <w:p>
      <w:pPr>
        <w:spacing w:line="360" w:lineRule="auto"/>
        <w:rPr>
          <w:rFonts w:hint="eastAsia" w:ascii="黑体" w:hAnsi="黑体" w:eastAsia="黑体" w:cs="方正小标宋简体"/>
          <w:b/>
          <w:bCs/>
          <w:spacing w:val="28"/>
          <w:sz w:val="32"/>
          <w:szCs w:val="32"/>
        </w:rPr>
      </w:pPr>
    </w:p>
    <w:p>
      <w:pPr>
        <w:spacing w:line="360" w:lineRule="auto"/>
        <w:rPr>
          <w:rFonts w:hint="eastAsia" w:ascii="黑体" w:hAnsi="黑体" w:eastAsia="黑体" w:cs="方正小标宋简体"/>
          <w:b/>
          <w:bCs/>
          <w:spacing w:val="28"/>
          <w:sz w:val="32"/>
          <w:szCs w:val="32"/>
        </w:rPr>
      </w:pPr>
    </w:p>
    <w:p>
      <w:pPr>
        <w:rPr>
          <w:rFonts w:hint="eastAsia" w:ascii="黑体" w:hAnsi="黑体" w:eastAsia="黑体" w:cs="方正小标宋简体"/>
          <w:b/>
          <w:bCs/>
          <w:spacing w:val="28"/>
          <w:szCs w:val="32"/>
        </w:rPr>
        <w:sectPr>
          <w:footerReference r:id="rId8" w:type="default"/>
          <w:pgSz w:w="16838" w:h="11906" w:orient="landscape"/>
          <w:pgMar w:top="1800" w:right="1440" w:bottom="1800" w:left="1440" w:header="851" w:footer="992" w:gutter="0"/>
          <w:cols w:space="720" w:num="1"/>
          <w:docGrid w:type="lines" w:linePitch="435" w:charSpace="0"/>
        </w:sectPr>
      </w:pPr>
    </w:p>
    <w:p>
      <w:pPr>
        <w:keepNext/>
        <w:keepLines/>
        <w:spacing w:line="360" w:lineRule="auto"/>
        <w:outlineLvl w:val="0"/>
        <w:rPr>
          <w:rFonts w:ascii="Times New Roman" w:hAnsi="Times New Roman" w:eastAsia="黑体" w:cs="Times New Roman"/>
          <w:b/>
          <w:kern w:val="44"/>
          <w:sz w:val="32"/>
          <w:szCs w:val="22"/>
        </w:rPr>
      </w:pPr>
      <w:bookmarkStart w:id="74" w:name="_Toc23953"/>
      <w:r>
        <w:rPr>
          <w:rFonts w:hint="eastAsia" w:ascii="Times New Roman" w:hAnsi="Times New Roman" w:eastAsia="黑体" w:cs="Times New Roman"/>
          <w:b/>
          <w:kern w:val="44"/>
          <w:sz w:val="32"/>
          <w:szCs w:val="22"/>
        </w:rPr>
        <w:t>附件3</w:t>
      </w:r>
      <w:bookmarkEnd w:id="74"/>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污泥深度浓缩系统</w:t>
      </w: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操</w:t>
      </w:r>
    </w:p>
    <w:p>
      <w:pPr>
        <w:widowControl/>
        <w:jc w:val="center"/>
        <w:rPr>
          <w:rFonts w:hint="eastAsia" w:ascii="仿宋_GB2312" w:hAnsi="黑体" w:eastAsia="仿宋_GB2312" w:cs="Times New Roman"/>
          <w:b/>
          <w:sz w:val="72"/>
          <w:szCs w:val="22"/>
          <w:lang w:bidi="zh-CN"/>
        </w:rPr>
      </w:pPr>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作</w:t>
      </w:r>
    </w:p>
    <w:p>
      <w:pPr>
        <w:widowControl/>
        <w:jc w:val="center"/>
        <w:rPr>
          <w:rFonts w:hint="eastAsia" w:ascii="仿宋_GB2312" w:hAnsi="黑体" w:eastAsia="仿宋_GB2312" w:cs="Times New Roman"/>
          <w:b/>
          <w:sz w:val="72"/>
          <w:szCs w:val="22"/>
          <w:lang w:bidi="zh-CN"/>
        </w:rPr>
      </w:pPr>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规</w:t>
      </w:r>
    </w:p>
    <w:p>
      <w:pPr>
        <w:widowControl/>
        <w:jc w:val="center"/>
        <w:rPr>
          <w:rFonts w:hint="eastAsia" w:ascii="仿宋_GB2312" w:hAnsi="黑体" w:eastAsia="仿宋_GB2312" w:cs="Times New Roman"/>
          <w:b/>
          <w:sz w:val="72"/>
          <w:szCs w:val="22"/>
          <w:lang w:bidi="zh-CN"/>
        </w:rPr>
      </w:pPr>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程</w:t>
      </w: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2021 年 2 月</w:t>
      </w:r>
    </w:p>
    <w:p>
      <w:pPr>
        <w:widowControl/>
        <w:jc w:val="center"/>
        <w:rPr>
          <w:rFonts w:hint="eastAsia" w:ascii="仿宋_GB2312" w:hAnsi="黑体"/>
          <w:lang w:bidi="zh-CN"/>
        </w:rPr>
        <w:sectPr>
          <w:pgSz w:w="11910" w:h="16840"/>
          <w:pgMar w:top="1134" w:right="1134" w:bottom="1418" w:left="1418" w:header="720" w:footer="720" w:gutter="0"/>
          <w:cols w:space="720" w:num="1"/>
          <w:docGrid w:linePitch="299" w:charSpace="0"/>
        </w:sectPr>
      </w:pPr>
    </w:p>
    <w:p>
      <w:pPr>
        <w:widowControl/>
        <w:jc w:val="center"/>
        <w:rPr>
          <w:rFonts w:hint="eastAsia" w:ascii="仿宋_GB2312" w:hAnsi="仿宋_GB2312" w:eastAsia="仿宋_GB2312" w:cs="仿宋_GB2312"/>
          <w:sz w:val="32"/>
          <w:szCs w:val="22"/>
          <w:lang w:bidi="zh-CN"/>
        </w:rPr>
      </w:pPr>
      <w:bookmarkStart w:id="75" w:name="_Toc5424"/>
      <w:bookmarkStart w:id="76" w:name="_Toc64855221"/>
      <w:r>
        <w:rPr>
          <w:rFonts w:hint="eastAsia" w:ascii="仿宋_GB2312" w:hAnsi="仿宋_GB2312" w:eastAsia="仿宋_GB2312" w:cs="仿宋_GB2312"/>
          <w:sz w:val="32"/>
          <w:szCs w:val="22"/>
          <w:lang w:bidi="zh-CN"/>
        </w:rPr>
        <w:t>进泥操作流程</w:t>
      </w:r>
      <w:bookmarkEnd w:id="75"/>
      <w:bookmarkEnd w:id="76"/>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一、进泥：</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打开进泥阀后即可进泥，用原有进泥泵进泥。（调质罐配有超声波液位计，总容量约66立方，按需要进泥。进泥管配有流量计）进泥完成后需关闭进泥阀。</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1：按进泥阀的“启动按钮”（详看图示）；</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2：开原有进泥泵进泥。</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3：通过“液位计”确认进泥液位，达到试验所需泥量后先关闭原有进泥泵，再按进泥阀的“停止按钮”关闭进泥阀。</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二、药剂的搅拌与加药：</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现场2#3#4#5#药罐储存药剂后（确认加药阀门全部关闭后）可按需要对各药罐进行搅拌，同时或单一开启皆可。按需打开2#3#4#5#药罐对应加药阀门，通过2#3#加药泵进行药剂投加（注：由于2#3#药罐为共用1#加药泵、4#5#药罐为共用2#加药泵）（2#药罐容量：1m³、3#药罐容量：3m³、4#药罐容量：1m³、5#药罐容量：3m³）。</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4：2#3#4#5#药罐添加药剂储存口皆为罐顶加药口，当完成药罐储存药剂后，分别按按2#3#4#5#搅拌器的“启动按钮”进行搅拌。搅拌完成后按2#3#4#5# 的“停止按钮”进行关闭。（搅拌时长按使用方需要，搅拌机功率为0.75KW（2#、4#）与1.5KW（3#、5#））（注：当药罐处于空管或液位低于500mm时不可进行搅拌）</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5：加药需先手动打开加药阀门添加2#药罐管体内打开2#加药阀、添加3#药罐管体内打开3#加药阀、添加4#药罐管体内打开4#加药阀、添加5#药罐管体内打开5#加药阀.（注：由于2#3#药罐为共用1#加药泵、4#5#药罐为共用2#加药泵）。</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6：手动打开6#、7#加药泵阀阀门（2#3#药罐对应6#加药泵阀门，4#5#药罐对应7#加药泵阀门）。确认阀门开启后按1#泵“启动按钮”进行2#3#药罐药剂添加、按2#泵“启动按钮”进行4#5#药罐药剂添加。（1#2#加药泵流量2000L/h，泵后均配有流量计，药量根据流量计的数值进行具体操作加药的药量）</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7：按需加药完成后先按1#或2#加药泵的“停止按钮”停止加药，完成后需关闭所有药剂阀门。</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三、调制搅拌罐内泥及药操作流程</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8：按1#搅拌器“启动按钮”进行搅拌。（加药完成后进行搅拌）</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9：搅拌完成后按1#搅拌器的“停止按钮”进行关闭。</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四、放空及溢流操作流程</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10：根据需要按溢流阀“启动按钮”，或“停止按钮”打开或关闭。</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11： 出泥阀“启动按钮”或“停止按钮”根据罐内是否需要排泥的情况进行打开或关闭。</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12：放空阀在试验结束后手动进行打开排放至井内。</w:t>
      </w:r>
    </w:p>
    <w:p>
      <w:pPr>
        <w:widowControl/>
        <w:rPr>
          <w:rFonts w:hint="eastAsia" w:ascii="仿宋_GB2312" w:hAnsi="黑体" w:eastAsia="仿宋_GB2312" w:cs="Times New Roman"/>
          <w:sz w:val="32"/>
          <w:szCs w:val="22"/>
          <w:lang w:bidi="zh-CN"/>
        </w:rPr>
      </w:pPr>
      <w:r>
        <w:rPr>
          <w:rFonts w:hint="eastAsia" w:ascii="仿宋_GB2312" w:hAnsi="仿宋_GB2312" w:eastAsia="仿宋_GB2312" w:cs="仿宋_GB2312"/>
          <w:sz w:val="32"/>
          <w:szCs w:val="22"/>
          <w:lang w:bidi="zh-CN"/>
        </w:rPr>
        <w:t>步骤 13：罐体放空完成后手动关闭放空阀。</w:t>
      </w:r>
    </w:p>
    <w:p>
      <w:pPr>
        <w:widowControl/>
        <w:rPr>
          <w:rFonts w:hint="eastAsia" w:ascii="仿宋_GB2312" w:hAnsi="黑体" w:eastAsia="仿宋_GB2312" w:cs="Times New Roman"/>
          <w:sz w:val="32"/>
          <w:szCs w:val="22"/>
          <w:lang w:bidi="zh-CN"/>
        </w:rPr>
      </w:pPr>
      <w:bookmarkStart w:id="77" w:name="_Toc9044"/>
      <w:r>
        <w:rPr>
          <w:rFonts w:ascii="仿宋_GB2312" w:hAnsi="黑体" w:eastAsia="仿宋_GB2312" w:cs="Times New Roman"/>
          <w:sz w:val="32"/>
          <w:szCs w:val="22"/>
          <w:lang w:bidi="zh-CN"/>
        </w:rPr>
        <w:br w:type="page"/>
      </w:r>
      <w:r>
        <w:rPr>
          <w:rFonts w:ascii="仿宋_GB2312" w:hAnsi="黑体" w:eastAsia="仿宋_GB2312" w:cs="Times New Roman"/>
          <w:sz w:val="32"/>
          <w:szCs w:val="22"/>
        </w:rPr>
        <w:drawing>
          <wp:inline distT="0" distB="0" distL="0" distR="0">
            <wp:extent cx="5357495" cy="7143750"/>
            <wp:effectExtent l="0" t="0" r="146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3" cstate="print"/>
                    <a:stretch>
                      <a:fillRect/>
                    </a:stretch>
                  </pic:blipFill>
                  <pic:spPr>
                    <a:xfrm>
                      <a:off x="0" y="0"/>
                      <a:ext cx="5365646" cy="7154195"/>
                    </a:xfrm>
                    <a:prstGeom prst="rect">
                      <a:avLst/>
                    </a:prstGeom>
                  </pic:spPr>
                </pic:pic>
              </a:graphicData>
            </a:graphic>
          </wp:inline>
        </w:drawing>
      </w:r>
    </w:p>
    <w:p>
      <w:pPr>
        <w:widowControl/>
        <w:rPr>
          <w:rFonts w:hint="eastAsia" w:ascii="仿宋_GB2312" w:hAnsi="黑体" w:eastAsia="仿宋_GB2312" w:cs="Times New Roman"/>
          <w:b/>
          <w:bCs/>
          <w:sz w:val="32"/>
          <w:szCs w:val="22"/>
          <w:lang w:bidi="zh-CN"/>
        </w:rPr>
      </w:pPr>
    </w:p>
    <w:p>
      <w:pPr>
        <w:widowControl/>
        <w:rPr>
          <w:rFonts w:hint="eastAsia" w:ascii="仿宋_GB2312" w:hAnsi="黑体" w:eastAsia="仿宋_GB2312" w:cs="Times New Roman"/>
          <w:b/>
          <w:bCs/>
          <w:sz w:val="32"/>
          <w:szCs w:val="22"/>
          <w:lang w:bidi="zh-CN"/>
        </w:rPr>
      </w:pPr>
    </w:p>
    <w:p>
      <w:pPr>
        <w:widowControl/>
        <w:rPr>
          <w:rFonts w:hint="eastAsia" w:ascii="仿宋_GB2312" w:hAnsi="黑体" w:eastAsia="仿宋_GB2312" w:cs="Times New Roman"/>
          <w:b/>
          <w:bCs/>
          <w:sz w:val="32"/>
          <w:szCs w:val="22"/>
          <w:lang w:bidi="zh-CN"/>
        </w:rPr>
      </w:pPr>
    </w:p>
    <w:p>
      <w:pPr>
        <w:widowControl/>
        <w:jc w:val="center"/>
        <w:rPr>
          <w:rFonts w:hint="eastAsia" w:ascii="仿宋_GB2312" w:hAnsi="黑体" w:eastAsia="仿宋_GB2312" w:cs="Times New Roman"/>
          <w:b/>
          <w:bCs/>
          <w:sz w:val="32"/>
          <w:szCs w:val="22"/>
          <w:lang w:bidi="zh-CN"/>
        </w:rPr>
      </w:pPr>
      <w:r>
        <w:rPr>
          <w:rFonts w:hint="eastAsia" w:ascii="仿宋_GB2312" w:hAnsi="黑体" w:eastAsia="仿宋_GB2312" w:cs="Times New Roman"/>
          <w:b/>
          <w:bCs/>
          <w:sz w:val="32"/>
          <w:szCs w:val="22"/>
          <w:lang w:bidi="zh-CN"/>
        </w:rPr>
        <w:t>易损易耗件明细表</w:t>
      </w:r>
    </w:p>
    <w:p>
      <w:pPr>
        <w:widowControl/>
        <w:jc w:val="center"/>
        <w:rPr>
          <w:rFonts w:hint="eastAsia" w:ascii="仿宋_GB2312" w:hAnsi="黑体" w:eastAsia="仿宋_GB2312" w:cs="Times New Roman"/>
          <w:b/>
          <w:bCs/>
          <w:sz w:val="32"/>
          <w:szCs w:val="22"/>
          <w:lang w:bidi="zh-CN"/>
        </w:rPr>
      </w:pPr>
      <w:r>
        <w:rPr>
          <w:rFonts w:hint="eastAsia" w:ascii="仿宋_GB2312" w:hAnsi="黑体" w:eastAsia="仿宋_GB2312" w:cs="Times New Roman"/>
          <w:b/>
          <w:bCs/>
          <w:sz w:val="32"/>
          <w:szCs w:val="22"/>
          <w:lang w:bidi="zh-CN"/>
        </w:rPr>
        <w:t>进泥系统</w:t>
      </w:r>
      <w:bookmarkEnd w:id="77"/>
    </w:p>
    <w:tbl>
      <w:tblPr>
        <w:tblStyle w:val="15"/>
        <w:tblW w:w="852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42"/>
        <w:gridCol w:w="3027"/>
        <w:gridCol w:w="2273"/>
        <w:gridCol w:w="20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3" w:hRule="atLeast"/>
        </w:trPr>
        <w:tc>
          <w:tcPr>
            <w:tcW w:w="1142" w:type="dxa"/>
            <w:vAlign w:val="center"/>
          </w:tcPr>
          <w:p>
            <w:pPr>
              <w:widowControl/>
              <w:adjustRightInd w:val="0"/>
              <w:snapToGrid w:val="0"/>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序号</w:t>
            </w:r>
          </w:p>
        </w:tc>
        <w:tc>
          <w:tcPr>
            <w:tcW w:w="3027" w:type="dxa"/>
            <w:vAlign w:val="center"/>
          </w:tcPr>
          <w:p>
            <w:pPr>
              <w:widowControl/>
              <w:adjustRightInd w:val="0"/>
              <w:snapToGrid w:val="0"/>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设备名称</w:t>
            </w:r>
          </w:p>
        </w:tc>
        <w:tc>
          <w:tcPr>
            <w:tcW w:w="2273" w:type="dxa"/>
            <w:vAlign w:val="center"/>
          </w:tcPr>
          <w:p>
            <w:pPr>
              <w:widowControl/>
              <w:adjustRightInd w:val="0"/>
              <w:snapToGrid w:val="0"/>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规格型号</w:t>
            </w:r>
          </w:p>
        </w:tc>
        <w:tc>
          <w:tcPr>
            <w:tcW w:w="2081" w:type="dxa"/>
            <w:vAlign w:val="center"/>
          </w:tcPr>
          <w:p>
            <w:pPr>
              <w:widowControl/>
              <w:adjustRightInd w:val="0"/>
              <w:snapToGrid w:val="0"/>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设备配件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3" w:hRule="atLeast"/>
        </w:trPr>
        <w:tc>
          <w:tcPr>
            <w:tcW w:w="1142" w:type="dxa"/>
            <w:vMerge w:val="restart"/>
            <w:vAlign w:val="center"/>
          </w:tcPr>
          <w:p>
            <w:pPr>
              <w:widowControl/>
              <w:adjustRightInd w:val="0"/>
              <w:snapToGrid w:val="0"/>
              <w:jc w:val="center"/>
              <w:rPr>
                <w:rFonts w:hint="eastAsia" w:ascii="仿宋_GB2312" w:hAnsi="黑体" w:eastAsia="仿宋_GB2312" w:cs="Times New Roman"/>
                <w:bCs/>
                <w:sz w:val="32"/>
                <w:szCs w:val="22"/>
                <w:lang w:bidi="zh-CN"/>
              </w:rPr>
            </w:pPr>
            <w:r>
              <w:rPr>
                <w:rFonts w:hint="eastAsia" w:ascii="仿宋_GB2312" w:hAnsi="黑体" w:eastAsia="仿宋_GB2312" w:cs="Times New Roman"/>
                <w:bCs/>
                <w:sz w:val="32"/>
                <w:szCs w:val="22"/>
                <w:lang w:bidi="zh-CN"/>
              </w:rPr>
              <w:t>1</w:t>
            </w:r>
          </w:p>
        </w:tc>
        <w:tc>
          <w:tcPr>
            <w:tcW w:w="3027" w:type="dxa"/>
            <w:vMerge w:val="restart"/>
            <w:vAlign w:val="center"/>
          </w:tcPr>
          <w:p>
            <w:pPr>
              <w:widowControl/>
              <w:adjustRightInd w:val="0"/>
              <w:snapToGrid w:val="0"/>
              <w:jc w:val="center"/>
              <w:rPr>
                <w:rFonts w:hint="eastAsia" w:ascii="仿宋_GB2312" w:hAnsi="黑体" w:eastAsia="仿宋_GB2312" w:cs="Times New Roman"/>
                <w:bCs/>
                <w:sz w:val="32"/>
                <w:szCs w:val="22"/>
                <w:lang w:bidi="zh-CN"/>
              </w:rPr>
            </w:pPr>
            <w:r>
              <w:rPr>
                <w:rFonts w:hint="eastAsia" w:ascii="仿宋_GB2312" w:hAnsi="黑体" w:eastAsia="仿宋_GB2312" w:cs="Times New Roman"/>
                <w:bCs/>
                <w:sz w:val="32"/>
                <w:szCs w:val="22"/>
                <w:lang w:bidi="zh-CN"/>
              </w:rPr>
              <w:t>浓缩罐搅拌器</w:t>
            </w:r>
          </w:p>
        </w:tc>
        <w:tc>
          <w:tcPr>
            <w:tcW w:w="2273" w:type="dxa"/>
            <w:vMerge w:val="restart"/>
            <w:vAlign w:val="center"/>
          </w:tcPr>
          <w:p>
            <w:pPr>
              <w:widowControl/>
              <w:adjustRightInd w:val="0"/>
              <w:snapToGrid w:val="0"/>
              <w:jc w:val="center"/>
              <w:rPr>
                <w:rFonts w:hint="eastAsia" w:ascii="仿宋_GB2312" w:hAnsi="黑体" w:eastAsia="仿宋_GB2312" w:cs="Times New Roman"/>
                <w:bCs/>
                <w:sz w:val="32"/>
                <w:szCs w:val="22"/>
                <w:lang w:bidi="zh-CN"/>
              </w:rPr>
            </w:pPr>
            <w:r>
              <w:rPr>
                <w:rFonts w:hint="eastAsia" w:ascii="仿宋_GB2312" w:hAnsi="黑体" w:eastAsia="仿宋_GB2312" w:cs="Times New Roman"/>
                <w:bCs/>
                <w:sz w:val="32"/>
                <w:szCs w:val="22"/>
                <w:lang w:bidi="zh-CN"/>
              </w:rPr>
              <w:t>B</w:t>
            </w:r>
            <w:r>
              <w:rPr>
                <w:rFonts w:ascii="仿宋_GB2312" w:hAnsi="黑体" w:eastAsia="仿宋_GB2312" w:cs="Times New Roman"/>
                <w:bCs/>
                <w:sz w:val="32"/>
                <w:szCs w:val="22"/>
                <w:lang w:bidi="zh-CN"/>
              </w:rPr>
              <w:t>LD5-87-22</w:t>
            </w: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轴承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1"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轴套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2"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联轴器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1"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密封圈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机械密封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1"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油封</w:t>
            </w:r>
          </w:p>
        </w:tc>
      </w:tr>
    </w:tbl>
    <w:p>
      <w:pPr>
        <w:widowControl/>
        <w:jc w:val="center"/>
        <w:rPr>
          <w:rFonts w:hint="eastAsia" w:ascii="仿宋_GB2312" w:hAnsi="黑体" w:eastAsia="仿宋_GB2312" w:cs="Times New Roman"/>
          <w:b/>
          <w:bCs/>
          <w:sz w:val="32"/>
          <w:szCs w:val="22"/>
          <w:lang w:bidi="zh-CN"/>
        </w:rPr>
      </w:pPr>
      <w:r>
        <w:rPr>
          <w:rFonts w:hint="eastAsia" w:ascii="仿宋_GB2312" w:hAnsi="黑体" w:eastAsia="仿宋_GB2312" w:cs="Times New Roman"/>
          <w:b/>
          <w:bCs/>
          <w:sz w:val="32"/>
          <w:szCs w:val="22"/>
          <w:lang w:bidi="zh-CN"/>
        </w:rPr>
        <w:t>易损品明细表</w:t>
      </w:r>
    </w:p>
    <w:tbl>
      <w:tblPr>
        <w:tblStyle w:val="16"/>
        <w:tblW w:w="84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3017"/>
        <w:gridCol w:w="2267"/>
        <w:gridCol w:w="1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1150"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序号</w:t>
            </w:r>
          </w:p>
        </w:tc>
        <w:tc>
          <w:tcPr>
            <w:tcW w:w="3017" w:type="dxa"/>
            <w:vAlign w:val="center"/>
          </w:tcPr>
          <w:p>
            <w:pPr>
              <w:widowControl/>
              <w:jc w:val="center"/>
              <w:rPr>
                <w:rFonts w:hint="eastAsia" w:ascii="仿宋_GB2312" w:hAnsi="黑体" w:eastAsia="仿宋_GB2312" w:cs="Times New Roman"/>
                <w:sz w:val="32"/>
                <w:szCs w:val="22"/>
                <w:lang w:bidi="zh-CN"/>
              </w:rPr>
            </w:pPr>
            <w:r>
              <w:rPr>
                <w:rFonts w:ascii="仿宋_GB2312" w:hAnsi="黑体" w:eastAsia="仿宋_GB2312" w:cs="Times New Roman"/>
                <w:sz w:val="32"/>
                <w:szCs w:val="22"/>
                <w:lang w:bidi="zh-CN"/>
              </w:rPr>
              <w:t>使用设备名称</w:t>
            </w:r>
          </w:p>
        </w:tc>
        <w:tc>
          <w:tcPr>
            <w:tcW w:w="2267" w:type="dxa"/>
            <w:vAlign w:val="center"/>
          </w:tcPr>
          <w:p>
            <w:pPr>
              <w:widowControl/>
              <w:jc w:val="center"/>
              <w:rPr>
                <w:rFonts w:hint="eastAsia" w:ascii="仿宋_GB2312" w:hAnsi="黑体" w:eastAsia="仿宋_GB2312" w:cs="Times New Roman"/>
                <w:sz w:val="32"/>
                <w:szCs w:val="22"/>
                <w:lang w:bidi="zh-CN"/>
              </w:rPr>
            </w:pPr>
            <w:r>
              <w:rPr>
                <w:rFonts w:ascii="仿宋_GB2312" w:hAnsi="黑体" w:eastAsia="仿宋_GB2312" w:cs="Times New Roman"/>
                <w:sz w:val="32"/>
                <w:szCs w:val="22"/>
                <w:lang w:bidi="zh-CN"/>
              </w:rPr>
              <w:t>种类</w:t>
            </w:r>
          </w:p>
        </w:tc>
        <w:tc>
          <w:tcPr>
            <w:tcW w:w="1967"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型号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jc w:val="center"/>
        </w:trPr>
        <w:tc>
          <w:tcPr>
            <w:tcW w:w="1150"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1</w:t>
            </w:r>
          </w:p>
        </w:tc>
        <w:tc>
          <w:tcPr>
            <w:tcW w:w="3017" w:type="dxa"/>
            <w:vAlign w:val="center"/>
          </w:tcPr>
          <w:p>
            <w:pPr>
              <w:widowControl/>
              <w:jc w:val="center"/>
              <w:rPr>
                <w:rFonts w:hint="eastAsia" w:ascii="仿宋_GB2312" w:hAnsi="黑体" w:eastAsia="仿宋_GB2312" w:cs="Times New Roman"/>
                <w:sz w:val="32"/>
                <w:szCs w:val="22"/>
                <w:lang w:bidi="zh-CN"/>
              </w:rPr>
            </w:pPr>
            <w:r>
              <w:rPr>
                <w:rFonts w:ascii="仿宋_GB2312" w:hAnsi="黑体" w:eastAsia="仿宋_GB2312" w:cs="Times New Roman"/>
                <w:sz w:val="32"/>
                <w:szCs w:val="22"/>
                <w:lang w:bidi="zh-CN"/>
              </w:rPr>
              <w:t>计量泵</w:t>
            </w:r>
          </w:p>
        </w:tc>
        <w:tc>
          <w:tcPr>
            <w:tcW w:w="2267" w:type="dxa"/>
            <w:vAlign w:val="center"/>
          </w:tcPr>
          <w:p>
            <w:pPr>
              <w:widowControl/>
              <w:jc w:val="center"/>
              <w:rPr>
                <w:rFonts w:hint="eastAsia" w:ascii="仿宋_GB2312" w:hAnsi="黑体" w:eastAsia="仿宋_GB2312" w:cs="Times New Roman"/>
                <w:sz w:val="32"/>
                <w:szCs w:val="22"/>
                <w:lang w:bidi="zh-CN"/>
              </w:rPr>
            </w:pPr>
            <w:r>
              <w:rPr>
                <w:rFonts w:ascii="仿宋_GB2312" w:hAnsi="黑体" w:eastAsia="仿宋_GB2312" w:cs="Times New Roman"/>
                <w:sz w:val="32"/>
                <w:szCs w:val="22"/>
                <w:lang w:bidi="zh-CN"/>
              </w:rPr>
              <w:t>齿轮油</w:t>
            </w:r>
          </w:p>
        </w:tc>
        <w:tc>
          <w:tcPr>
            <w:tcW w:w="1967"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HML46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26" w:hRule="atLeast"/>
          <w:jc w:val="center"/>
        </w:trPr>
        <w:tc>
          <w:tcPr>
            <w:tcW w:w="1150"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2</w:t>
            </w:r>
          </w:p>
        </w:tc>
        <w:tc>
          <w:tcPr>
            <w:tcW w:w="3017"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板框机</w:t>
            </w:r>
          </w:p>
        </w:tc>
        <w:tc>
          <w:tcPr>
            <w:tcW w:w="2267"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滤布</w:t>
            </w:r>
          </w:p>
        </w:tc>
        <w:tc>
          <w:tcPr>
            <w:tcW w:w="1967" w:type="dxa"/>
            <w:vAlign w:val="center"/>
          </w:tcPr>
          <w:p>
            <w:pPr>
              <w:widowControl/>
              <w:jc w:val="center"/>
              <w:rPr>
                <w:rFonts w:hint="eastAsia" w:ascii="仿宋_GB2312" w:hAnsi="黑体" w:eastAsia="仿宋_GB2312" w:cs="Times New Roman"/>
                <w:sz w:val="32"/>
                <w:szCs w:val="22"/>
                <w:lang w:bidi="zh-CN"/>
              </w:rPr>
            </w:pPr>
          </w:p>
        </w:tc>
      </w:tr>
    </w:tbl>
    <w:p>
      <w:pPr>
        <w:widowControl/>
        <w:sectPr>
          <w:pgSz w:w="11906" w:h="16838"/>
          <w:pgMar w:top="1440" w:right="1800" w:bottom="1440" w:left="1800" w:header="851" w:footer="992" w:gutter="0"/>
          <w:cols w:space="720" w:num="1"/>
          <w:docGrid w:type="lines" w:linePitch="312" w:charSpace="0"/>
        </w:sectPr>
      </w:pPr>
      <w:r>
        <w:rPr>
          <w:rFonts w:ascii="等线" w:hAnsi="等线" w:eastAsia="仿宋_GB2312" w:cs="Times New Roman"/>
          <w:sz w:val="32"/>
          <w:szCs w:val="22"/>
        </w:rPr>
        <w:t xml:space="preserve"> </w:t>
      </w:r>
    </w:p>
    <w:p>
      <w:pPr>
        <w:widowControl/>
        <w:rPr>
          <w:rFonts w:hint="eastAsia" w:ascii="黑体" w:hAnsi="黑体" w:eastAsia="黑体" w:cs="方正小标宋简体"/>
          <w:b/>
          <w:bCs/>
          <w:spacing w:val="28"/>
          <w:sz w:val="32"/>
          <w:szCs w:val="32"/>
        </w:rPr>
      </w:pPr>
      <w:r>
        <w:rPr>
          <w:rFonts w:ascii="等线" w:hAnsi="等线" w:eastAsia="仿宋_GB2312" w:cs="Times New Roman"/>
          <w:sz w:val="32"/>
          <w:szCs w:val="22"/>
        </w:rPr>
        <w:drawing>
          <wp:inline distT="0" distB="0" distL="0" distR="0">
            <wp:extent cx="8249920" cy="5274310"/>
            <wp:effectExtent l="0" t="0" r="1778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8249920" cy="5274310"/>
                    </a:xfrm>
                    <a:prstGeom prst="rect">
                      <a:avLst/>
                    </a:prstGeom>
                  </pic:spPr>
                </pic:pic>
              </a:graphicData>
            </a:graphic>
          </wp:inline>
        </w:drawing>
      </w:r>
    </w:p>
    <w:p>
      <w:pPr>
        <w:widowControl/>
        <w:rPr>
          <w:rFonts w:hint="eastAsia" w:ascii="黑体" w:hAnsi="黑体" w:eastAsia="黑体" w:cs="方正小标宋简体"/>
          <w:b/>
          <w:bCs/>
          <w:spacing w:val="28"/>
          <w:szCs w:val="32"/>
        </w:rPr>
        <w:sectPr>
          <w:pgSz w:w="16838" w:h="11906" w:orient="landscape"/>
          <w:pgMar w:top="1800" w:right="1440" w:bottom="1800" w:left="1440" w:header="851" w:footer="992" w:gutter="0"/>
          <w:cols w:space="720" w:num="1"/>
          <w:docGrid w:type="lines" w:linePitch="435" w:charSpace="0"/>
        </w:sectPr>
      </w:pPr>
    </w:p>
    <w:p>
      <w:pPr>
        <w:keepNext/>
        <w:keepLines/>
        <w:spacing w:line="360" w:lineRule="auto"/>
        <w:outlineLvl w:val="0"/>
        <w:rPr>
          <w:rFonts w:ascii="Times New Roman" w:hAnsi="Times New Roman" w:eastAsia="黑体" w:cs="Times New Roman"/>
          <w:b/>
          <w:kern w:val="44"/>
          <w:sz w:val="32"/>
          <w:szCs w:val="22"/>
        </w:rPr>
      </w:pPr>
      <w:bookmarkStart w:id="78" w:name="_Toc10987"/>
      <w:r>
        <w:rPr>
          <w:rFonts w:hint="eastAsia" w:ascii="Times New Roman" w:hAnsi="Times New Roman" w:eastAsia="黑体" w:cs="Times New Roman"/>
          <w:b/>
          <w:kern w:val="44"/>
          <w:sz w:val="32"/>
          <w:szCs w:val="22"/>
        </w:rPr>
        <w:t>附件4</w:t>
      </w:r>
      <w:bookmarkEnd w:id="78"/>
    </w:p>
    <w:tbl>
      <w:tblPr>
        <w:tblStyle w:val="15"/>
        <w:tblW w:w="13892" w:type="dxa"/>
        <w:tblInd w:w="108" w:type="dxa"/>
        <w:tblLayout w:type="fixed"/>
        <w:tblCellMar>
          <w:top w:w="0" w:type="dxa"/>
          <w:left w:w="108" w:type="dxa"/>
          <w:bottom w:w="0" w:type="dxa"/>
          <w:right w:w="108" w:type="dxa"/>
        </w:tblCellMar>
      </w:tblPr>
      <w:tblGrid>
        <w:gridCol w:w="426"/>
        <w:gridCol w:w="1134"/>
        <w:gridCol w:w="1417"/>
        <w:gridCol w:w="567"/>
        <w:gridCol w:w="1310"/>
        <w:gridCol w:w="533"/>
        <w:gridCol w:w="709"/>
        <w:gridCol w:w="992"/>
        <w:gridCol w:w="850"/>
        <w:gridCol w:w="993"/>
        <w:gridCol w:w="992"/>
        <w:gridCol w:w="1134"/>
        <w:gridCol w:w="2835"/>
      </w:tblGrid>
      <w:tr>
        <w:tblPrEx>
          <w:tblCellMar>
            <w:top w:w="0" w:type="dxa"/>
            <w:left w:w="108" w:type="dxa"/>
            <w:bottom w:w="0" w:type="dxa"/>
            <w:right w:w="108" w:type="dxa"/>
          </w:tblCellMar>
        </w:tblPrEx>
        <w:trPr>
          <w:trHeight w:val="480" w:hRule="atLeast"/>
        </w:trPr>
        <w:tc>
          <w:tcPr>
            <w:tcW w:w="13892" w:type="dxa"/>
            <w:gridSpan w:val="13"/>
            <w:tcBorders>
              <w:top w:val="nil"/>
              <w:left w:val="nil"/>
              <w:bottom w:val="nil"/>
              <w:right w:val="nil"/>
            </w:tcBorders>
            <w:shd w:val="clear" w:color="auto" w:fill="auto"/>
            <w:vAlign w:val="center"/>
          </w:tcPr>
          <w:p>
            <w:pPr>
              <w:widowControl/>
              <w:jc w:val="center"/>
              <w:rPr>
                <w:rFonts w:hint="eastAsia" w:ascii="仿宋_GB2312" w:hAnsi="仿宋_GB2312" w:eastAsia="仿宋_GB2312" w:cs="仿宋_GB2312"/>
                <w:b/>
                <w:bCs/>
                <w:kern w:val="0"/>
                <w:sz w:val="36"/>
                <w:szCs w:val="36"/>
              </w:rPr>
            </w:pPr>
            <w:r>
              <w:rPr>
                <w:rFonts w:hint="eastAsia" w:ascii="仿宋_GB2312" w:hAnsi="仿宋_GB2312" w:eastAsia="仿宋_GB2312" w:cs="仿宋_GB2312"/>
                <w:b/>
                <w:bCs/>
                <w:kern w:val="0"/>
                <w:sz w:val="36"/>
                <w:szCs w:val="36"/>
              </w:rPr>
              <w:t>设备性能完好确认书</w:t>
            </w:r>
          </w:p>
        </w:tc>
      </w:tr>
      <w:tr>
        <w:tblPrEx>
          <w:tblCellMar>
            <w:top w:w="0" w:type="dxa"/>
            <w:left w:w="108" w:type="dxa"/>
            <w:bottom w:w="0" w:type="dxa"/>
            <w:right w:w="108" w:type="dxa"/>
          </w:tblCellMar>
        </w:tblPrEx>
        <w:trPr>
          <w:trHeight w:val="285" w:hRule="atLeast"/>
        </w:trPr>
        <w:tc>
          <w:tcPr>
            <w:tcW w:w="2977" w:type="dxa"/>
            <w:gridSpan w:val="3"/>
            <w:tcBorders>
              <w:top w:val="single" w:color="auto" w:sz="4" w:space="0"/>
              <w:left w:val="single" w:color="auto" w:sz="4" w:space="0"/>
              <w:bottom w:val="single" w:color="auto" w:sz="4" w:space="0"/>
              <w:right w:val="nil"/>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日期： 2021年 月 日                 </w:t>
            </w:r>
          </w:p>
        </w:tc>
        <w:tc>
          <w:tcPr>
            <w:tcW w:w="5954" w:type="dxa"/>
            <w:gridSpan w:val="7"/>
            <w:tcBorders>
              <w:top w:val="single" w:color="auto" w:sz="4" w:space="0"/>
              <w:left w:val="nil"/>
              <w:bottom w:val="single" w:color="auto" w:sz="4" w:space="0"/>
              <w:right w:val="nil"/>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4961" w:type="dxa"/>
            <w:gridSpan w:val="3"/>
            <w:tcBorders>
              <w:top w:val="single" w:color="auto" w:sz="4" w:space="0"/>
              <w:left w:val="nil"/>
              <w:bottom w:val="single" w:color="auto" w:sz="4" w:space="0"/>
              <w:right w:val="single" w:color="000000"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r>
      <w:tr>
        <w:tblPrEx>
          <w:tblCellMar>
            <w:top w:w="0" w:type="dxa"/>
            <w:left w:w="108" w:type="dxa"/>
            <w:bottom w:w="0" w:type="dxa"/>
            <w:right w:w="108" w:type="dxa"/>
          </w:tblCellMar>
        </w:tblPrEx>
        <w:trPr>
          <w:trHeight w:val="285" w:hRule="atLeast"/>
        </w:trPr>
        <w:tc>
          <w:tcPr>
            <w:tcW w:w="426"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序号</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项目</w:t>
            </w:r>
          </w:p>
        </w:tc>
        <w:tc>
          <w:tcPr>
            <w:tcW w:w="1417"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设备名称</w:t>
            </w:r>
          </w:p>
        </w:tc>
        <w:tc>
          <w:tcPr>
            <w:tcW w:w="567"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数量</w:t>
            </w:r>
          </w:p>
        </w:tc>
        <w:tc>
          <w:tcPr>
            <w:tcW w:w="1310"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安装地点</w:t>
            </w:r>
          </w:p>
        </w:tc>
        <w:tc>
          <w:tcPr>
            <w:tcW w:w="4077" w:type="dxa"/>
            <w:gridSpan w:val="5"/>
            <w:tcBorders>
              <w:top w:val="single" w:color="auto" w:sz="4" w:space="0"/>
              <w:left w:val="nil"/>
              <w:bottom w:val="single" w:color="auto" w:sz="4" w:space="0"/>
              <w:right w:val="single" w:color="auto" w:sz="4" w:space="0"/>
            </w:tcBorders>
            <w:shd w:val="clear" w:color="auto" w:fill="auto"/>
            <w:vAlign w:val="bottom"/>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检     查     内     容</w:t>
            </w:r>
          </w:p>
        </w:tc>
        <w:tc>
          <w:tcPr>
            <w:tcW w:w="992"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设备性能完好</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存在问题</w:t>
            </w: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说明</w:t>
            </w:r>
          </w:p>
        </w:tc>
      </w:tr>
      <w:tr>
        <w:trPr>
          <w:trHeight w:val="480" w:hRule="atLeast"/>
        </w:trPr>
        <w:tc>
          <w:tcPr>
            <w:tcW w:w="426"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567"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310"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①基础</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②结构</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③润滑</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④计量及防护</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⑤运行效能</w:t>
            </w:r>
          </w:p>
        </w:tc>
        <w:tc>
          <w:tcPr>
            <w:tcW w:w="992"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2835" w:type="dxa"/>
            <w:vMerge w:val="restart"/>
            <w:tcBorders>
              <w:top w:val="single" w:color="auto" w:sz="4" w:space="0"/>
              <w:left w:val="nil"/>
              <w:bottom w:val="single" w:color="000000" w:sz="4" w:space="0"/>
              <w:right w:val="single" w:color="000000" w:sz="4" w:space="0"/>
            </w:tcBorders>
            <w:shd w:val="clear" w:color="auto" w:fill="auto"/>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检查内容：</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①基础：基础稳固，无腐蚀、倾斜、裂缝，连接牢靠，无松动断裂和脱落现象，设备表面清洁；</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②结构：结构完整，零部件齐全，磨损、腐蚀和变形均在允许范围；</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③润滑：润滑良好，没有油、水、气等介质的跑、冒、滴、漏现象；</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④计量仪表和防护装置：计量仪表灵敏可靠，安全防护装置齐全；</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⑤设备精度和运行效能：运行正常，设备精度达到公称能力，即原出厂技术要求或设备精度能符合工艺技术要求。</w:t>
            </w: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进泥及调质系统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潜水搅拌器</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污泥输送泵</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w:t>
            </w:r>
          </w:p>
        </w:tc>
        <w:tc>
          <w:tcPr>
            <w:tcW w:w="1134" w:type="dxa"/>
            <w:vMerge w:val="restart"/>
            <w:tcBorders>
              <w:top w:val="nil"/>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污泥深度浓缩系统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浓缩罐超声波液位计</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w:t>
            </w:r>
          </w:p>
        </w:tc>
        <w:tc>
          <w:tcPr>
            <w:tcW w:w="1134" w:type="dxa"/>
            <w:vMerge w:val="continue"/>
            <w:tcBorders>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浓缩罐搅拌器</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w:t>
            </w:r>
          </w:p>
        </w:tc>
        <w:tc>
          <w:tcPr>
            <w:tcW w:w="1134" w:type="dxa"/>
            <w:vMerge w:val="continue"/>
            <w:tcBorders>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隔膜计量药泵及流量计</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w:t>
            </w:r>
          </w:p>
        </w:tc>
        <w:tc>
          <w:tcPr>
            <w:tcW w:w="1134" w:type="dxa"/>
            <w:vMerge w:val="continue"/>
            <w:tcBorders>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药剂罐搅拌器</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w:t>
            </w:r>
          </w:p>
        </w:tc>
        <w:tc>
          <w:tcPr>
            <w:tcW w:w="1134" w:type="dxa"/>
            <w:vMerge w:val="continue"/>
            <w:tcBorders>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分体式电磁流量计</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w:t>
            </w:r>
          </w:p>
        </w:tc>
        <w:tc>
          <w:tcPr>
            <w:tcW w:w="1134" w:type="dxa"/>
            <w:vMerge w:val="continue"/>
            <w:tcBorders>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电动蝶阀</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注泥系统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高、低压注泥泵（螺杆泵）</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压榨水泵（螺杆泵）</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高压清洗水泵</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压榨水罐装置</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13</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清洗水罐装置</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14</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隔膜板框压滤机</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15</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干化系统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热源系统</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16</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预处理机（破碎机）</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17</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干化机系统</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18</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成品系统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成品储料系统</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19</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出泥输送机构</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20</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成品抽泥管</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21</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出料闸板阀</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22</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除臭系统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除臭设备装置</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99" w:hRule="atLeast"/>
        </w:trPr>
        <w:tc>
          <w:tcPr>
            <w:tcW w:w="2977" w:type="dxa"/>
            <w:gridSpan w:val="3"/>
            <w:vMerge w:val="restart"/>
            <w:tcBorders>
              <w:top w:val="single" w:color="auto" w:sz="4" w:space="0"/>
              <w:left w:val="single" w:color="auto" w:sz="4" w:space="0"/>
              <w:right w:val="nil"/>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试验药剂厂家（签名盖章）</w:t>
            </w:r>
          </w:p>
        </w:tc>
        <w:tc>
          <w:tcPr>
            <w:tcW w:w="8080" w:type="dxa"/>
            <w:gridSpan w:val="9"/>
            <w:tcBorders>
              <w:top w:val="single" w:color="auto" w:sz="4" w:space="0"/>
              <w:left w:val="single" w:color="auto" w:sz="4" w:space="0"/>
              <w:bottom w:val="single" w:color="auto" w:sz="4" w:space="0"/>
              <w:right w:val="single" w:color="000000" w:sz="4" w:space="0"/>
            </w:tcBorders>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广州市净水有限公司（盖章）</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99" w:hRule="atLeast"/>
        </w:trPr>
        <w:tc>
          <w:tcPr>
            <w:tcW w:w="2977" w:type="dxa"/>
            <w:gridSpan w:val="3"/>
            <w:vMerge w:val="continue"/>
            <w:tcBorders>
              <w:left w:val="single" w:color="auto" w:sz="4" w:space="0"/>
              <w:bottom w:val="single" w:color="auto" w:sz="4" w:space="0"/>
              <w:right w:val="nil"/>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2410" w:type="dxa"/>
            <w:gridSpan w:val="3"/>
            <w:tcBorders>
              <w:top w:val="single" w:color="auto" w:sz="4" w:space="0"/>
              <w:left w:val="single" w:color="auto" w:sz="4" w:space="0"/>
              <w:bottom w:val="single" w:color="auto" w:sz="4" w:space="0"/>
              <w:right w:val="nil"/>
            </w:tcBorders>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西朗净水厂（签名）</w:t>
            </w:r>
          </w:p>
        </w:tc>
        <w:tc>
          <w:tcPr>
            <w:tcW w:w="2551" w:type="dxa"/>
            <w:gridSpan w:val="3"/>
            <w:tcBorders>
              <w:top w:val="single" w:color="auto" w:sz="4" w:space="0"/>
              <w:left w:val="single" w:color="auto" w:sz="4" w:space="0"/>
              <w:bottom w:val="single" w:color="auto" w:sz="4" w:space="0"/>
              <w:right w:val="nil"/>
            </w:tcBorders>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污泥项目部（签名）</w:t>
            </w:r>
          </w:p>
        </w:tc>
        <w:tc>
          <w:tcPr>
            <w:tcW w:w="3119" w:type="dxa"/>
            <w:gridSpan w:val="3"/>
            <w:tcBorders>
              <w:top w:val="single" w:color="auto" w:sz="4" w:space="0"/>
              <w:left w:val="single" w:color="auto" w:sz="4" w:space="0"/>
              <w:bottom w:val="single" w:color="auto" w:sz="4" w:space="0"/>
              <w:right w:val="single" w:color="000000" w:sz="4" w:space="0"/>
            </w:tcBorders>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技术中心（签名）</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1399" w:hRule="atLeast"/>
        </w:trPr>
        <w:tc>
          <w:tcPr>
            <w:tcW w:w="2977" w:type="dxa"/>
            <w:gridSpan w:val="3"/>
            <w:tcBorders>
              <w:top w:val="single" w:color="auto" w:sz="4" w:space="0"/>
              <w:left w:val="single" w:color="auto" w:sz="4" w:space="0"/>
              <w:bottom w:val="single" w:color="auto" w:sz="4" w:space="0"/>
              <w:right w:val="single" w:color="000000" w:sz="4" w:space="0"/>
            </w:tcBorders>
            <w:shd w:val="clear" w:color="auto" w:fill="auto"/>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410" w:type="dxa"/>
            <w:gridSpan w:val="3"/>
            <w:tcBorders>
              <w:top w:val="single" w:color="auto" w:sz="4" w:space="0"/>
              <w:left w:val="nil"/>
              <w:bottom w:val="single" w:color="auto" w:sz="4" w:space="0"/>
              <w:right w:val="single" w:color="000000" w:sz="4" w:space="0"/>
            </w:tcBorders>
            <w:shd w:val="clear" w:color="auto" w:fill="auto"/>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551" w:type="dxa"/>
            <w:gridSpan w:val="3"/>
            <w:tcBorders>
              <w:top w:val="single" w:color="auto" w:sz="4" w:space="0"/>
              <w:left w:val="nil"/>
              <w:bottom w:val="single" w:color="auto" w:sz="4" w:space="0"/>
              <w:right w:val="single" w:color="000000" w:sz="4" w:space="0"/>
            </w:tcBorders>
            <w:shd w:val="clear" w:color="auto" w:fill="auto"/>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3119" w:type="dxa"/>
            <w:gridSpan w:val="3"/>
            <w:tcBorders>
              <w:top w:val="single" w:color="auto" w:sz="4" w:space="0"/>
              <w:left w:val="nil"/>
              <w:bottom w:val="single" w:color="auto" w:sz="4" w:space="0"/>
              <w:right w:val="single" w:color="000000" w:sz="4" w:space="0"/>
            </w:tcBorders>
            <w:shd w:val="clear" w:color="auto" w:fill="auto"/>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bl>
    <w:p>
      <w:pPr>
        <w:rPr>
          <w:rFonts w:ascii="仿宋_GB2312" w:hAnsi="Times New Roman" w:eastAsia="仿宋_GB2312" w:cs="Times New Roman"/>
          <w:sz w:val="32"/>
          <w:szCs w:val="32"/>
        </w:rPr>
      </w:pPr>
    </w:p>
    <w:p>
      <w:pPr>
        <w:rPr>
          <w:rFonts w:hint="eastAsia" w:cs="仿宋_GB2312" w:asciiTheme="minorEastAsia" w:hAnsiTheme="minorEastAsia"/>
          <w:sz w:val="28"/>
          <w:szCs w:val="28"/>
        </w:rPr>
        <w:sectPr>
          <w:footerReference r:id="rId9" w:type="default"/>
          <w:pgSz w:w="16838" w:h="11906" w:orient="landscape"/>
          <w:pgMar w:top="1800" w:right="1440" w:bottom="1800" w:left="1440" w:header="851" w:footer="992" w:gutter="0"/>
          <w:cols w:space="425" w:num="1"/>
          <w:docGrid w:type="lines" w:linePitch="312" w:charSpace="0"/>
        </w:sectPr>
      </w:pPr>
    </w:p>
    <w:p>
      <w:pPr>
        <w:spacing w:line="440" w:lineRule="exact"/>
        <w:rPr>
          <w:rFonts w:hint="eastAsia" w:ascii="方正小标宋简体" w:hAnsi="方正小标宋简体" w:eastAsia="方正小标宋简体" w:cs="方正小标宋简体"/>
        </w:rPr>
      </w:pPr>
    </w:p>
    <w:p>
      <w:pPr>
        <w:spacing w:line="440" w:lineRule="exact"/>
        <w:jc w:val="center"/>
        <w:rPr>
          <w:rFonts w:hint="eastAsia" w:cs="仿宋_GB2312" w:asciiTheme="minorEastAsia" w:hAnsiTheme="minorEastAsia"/>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Wingdings 2">
    <w:altName w:val="Wingdings"/>
    <w:panose1 w:val="05020102010507070707"/>
    <w:charset w:val="02"/>
    <w:family w:val="roman"/>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rFonts w:hint="eastAsia" w:ascii="等线" w:hAnsi="等线" w:eastAsia="仿宋_GB2312" w:cs="Times New Roman"/>
        <w:sz w:val="18"/>
        <w:szCs w:val="18"/>
      </w:rPr>
    </w:pPr>
  </w:p>
  <w:p>
    <w:pPr>
      <w:tabs>
        <w:tab w:val="center" w:pos="4153"/>
        <w:tab w:val="right" w:pos="8306"/>
      </w:tabs>
      <w:snapToGrid w:val="0"/>
      <w:jc w:val="left"/>
      <w:rPr>
        <w:rFonts w:hint="eastAsia" w:ascii="等线" w:hAnsi="等线" w:eastAsia="仿宋_GB2312" w:cs="Times New Roman"/>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rFonts w:hint="eastAsia" w:ascii="等线" w:hAnsi="等线" w:eastAsia="仿宋_GB2312" w:cs="Times New Roman"/>
        <w:sz w:val="18"/>
        <w:szCs w:val="18"/>
      </w:rPr>
    </w:pPr>
  </w:p>
  <w:p>
    <w:pPr>
      <w:tabs>
        <w:tab w:val="center" w:pos="4153"/>
        <w:tab w:val="right" w:pos="8306"/>
      </w:tabs>
      <w:snapToGrid w:val="0"/>
      <w:jc w:val="left"/>
      <w:rPr>
        <w:rFonts w:hint="eastAsia" w:ascii="等线" w:hAnsi="等线" w:eastAsia="仿宋_GB2312" w:cs="Times New Roman"/>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rFonts w:hint="eastAsia" w:ascii="等线" w:hAnsi="等线" w:eastAsia="仿宋_GB2312"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5188235" name="文本框 1351882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ReOE4zAgAAZQQAAA4AAAAAAAAAAQAgAAAAHwEAAGRycy9lMm9Eb2MueG1sUEsF&#10;BgAAAAAGAAYAWQEAAMQFA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I</w:t>
                    </w:r>
                    <w:r>
                      <w:fldChar w:fldCharType="end"/>
                    </w:r>
                  </w:p>
                </w:txbxContent>
              </v:textbox>
            </v:shape>
          </w:pict>
        </mc:Fallback>
      </mc:AlternateContent>
    </w:r>
  </w:p>
  <w:p>
    <w:pPr>
      <w:tabs>
        <w:tab w:val="center" w:pos="4153"/>
        <w:tab w:val="right" w:pos="8306"/>
      </w:tabs>
      <w:snapToGrid w:val="0"/>
      <w:jc w:val="left"/>
      <w:rPr>
        <w:rFonts w:hint="eastAsia" w:ascii="等线" w:hAnsi="等线" w:eastAsia="仿宋_GB2312" w:cs="Times New Roman"/>
        <w:sz w:val="18"/>
        <w:szCs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rFonts w:hint="eastAsia" w:ascii="等线" w:hAnsi="等线" w:eastAsia="仿宋_GB2312" w:cs="Times New Roman"/>
        <w:sz w:val="18"/>
        <w:szCs w:val="18"/>
      </w:rPr>
    </w:pPr>
    <w:r>
      <w:rPr>
        <w:rFonts w:ascii="Times New Roman" w:hAnsi="Times New Roman" w:eastAsia="宋体" w:cs="Times New Roman"/>
        <w:sz w:val="18"/>
        <w:szCs w:val="22"/>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等线" w:hAnsi="等线" w:eastAsia="仿宋_GB2312" w:cs="Times New Roman"/>
                              <w:sz w:val="40"/>
                              <w:szCs w:val="28"/>
                            </w:rPr>
                            <w:id w:val="-783891328"/>
                          </w:sdtPr>
                          <w:sdtEndPr>
                            <w:rPr>
                              <w:rFonts w:ascii="等线" w:hAnsi="等线" w:eastAsia="仿宋_GB2312" w:cs="Times New Roman"/>
                              <w:sz w:val="21"/>
                              <w:szCs w:val="21"/>
                            </w:rPr>
                          </w:sdtEndPr>
                          <w:sdtContent>
                            <w:p>
                              <w:pPr>
                                <w:tabs>
                                  <w:tab w:val="center" w:pos="4153"/>
                                  <w:tab w:val="right" w:pos="8306"/>
                                </w:tabs>
                                <w:snapToGrid w:val="0"/>
                                <w:jc w:val="center"/>
                                <w:rPr>
                                  <w:rFonts w:hint="eastAsia" w:ascii="等线" w:hAnsi="等线" w:eastAsia="仿宋_GB2312" w:cs="Times New Roman"/>
                                  <w:szCs w:val="21"/>
                                </w:rPr>
                              </w:pPr>
                              <w:r>
                                <w:rPr>
                                  <w:rFonts w:ascii="等线" w:hAnsi="等线" w:eastAsia="仿宋_GB2312" w:cs="Times New Roman"/>
                                  <w:szCs w:val="21"/>
                                </w:rPr>
                                <w:fldChar w:fldCharType="begin"/>
                              </w:r>
                              <w:r>
                                <w:rPr>
                                  <w:rFonts w:ascii="等线" w:hAnsi="等线" w:eastAsia="仿宋_GB2312" w:cs="Times New Roman"/>
                                  <w:szCs w:val="21"/>
                                </w:rPr>
                                <w:instrText xml:space="preserve">PAGE   \* MERGEFORMAT</w:instrText>
                              </w:r>
                              <w:r>
                                <w:rPr>
                                  <w:rFonts w:ascii="等线" w:hAnsi="等线" w:eastAsia="仿宋_GB2312" w:cs="Times New Roman"/>
                                  <w:szCs w:val="21"/>
                                </w:rPr>
                                <w:fldChar w:fldCharType="separate"/>
                              </w:r>
                              <w:r>
                                <w:rPr>
                                  <w:rFonts w:ascii="等线" w:hAnsi="等线" w:eastAsia="仿宋_GB2312" w:cs="Times New Roman"/>
                                  <w:szCs w:val="21"/>
                                  <w:lang w:val="zh-CN"/>
                                </w:rPr>
                                <w:t>13</w:t>
                              </w:r>
                              <w:r>
                                <w:rPr>
                                  <w:rFonts w:ascii="等线" w:hAnsi="等线" w:eastAsia="仿宋_GB2312" w:cs="Times New Roman"/>
                                  <w:szCs w:val="21"/>
                                </w:rPr>
                                <w:fldChar w:fldCharType="end"/>
                              </w:r>
                            </w:p>
                          </w:sdtContent>
                        </w:sdt>
                        <w:p>
                          <w:pPr>
                            <w:rPr>
                              <w:rFonts w:hint="eastAsia" w:ascii="等线" w:hAnsi="等线" w:eastAsia="仿宋_GB2312" w:cs="Times New Roman"/>
                              <w:szCs w:val="21"/>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vk47wyAgAAYwQAAA4AAABkcnMvZTJvRG9jLnhtbK1UzY7TMBC+I/EO&#10;lu80aVl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TjvDICAABjBAAADgAAAAAAAAABACAAAAAfAQAAZHJzL2Uyb0RvYy54bWxQSwUG&#10;AAAAAAYABgBZAQAAwwUAAAAA&#10;">
              <v:fill on="f" focussize="0,0"/>
              <v:stroke on="f" weight="0.5pt"/>
              <v:imagedata o:title=""/>
              <o:lock v:ext="edit" aspectratio="f"/>
              <v:textbox inset="0mm,0mm,0mm,0mm" style="mso-fit-shape-to-text:t;">
                <w:txbxContent>
                  <w:sdt>
                    <w:sdtPr>
                      <w:rPr>
                        <w:rFonts w:ascii="等线" w:hAnsi="等线" w:eastAsia="仿宋_GB2312" w:cs="Times New Roman"/>
                        <w:sz w:val="40"/>
                        <w:szCs w:val="28"/>
                      </w:rPr>
                      <w:id w:val="-783891328"/>
                    </w:sdtPr>
                    <w:sdtEndPr>
                      <w:rPr>
                        <w:rFonts w:ascii="等线" w:hAnsi="等线" w:eastAsia="仿宋_GB2312" w:cs="Times New Roman"/>
                        <w:sz w:val="21"/>
                        <w:szCs w:val="21"/>
                      </w:rPr>
                    </w:sdtEndPr>
                    <w:sdtContent>
                      <w:p>
                        <w:pPr>
                          <w:tabs>
                            <w:tab w:val="center" w:pos="4153"/>
                            <w:tab w:val="right" w:pos="8306"/>
                          </w:tabs>
                          <w:snapToGrid w:val="0"/>
                          <w:jc w:val="center"/>
                          <w:rPr>
                            <w:rFonts w:hint="eastAsia" w:ascii="等线" w:hAnsi="等线" w:eastAsia="仿宋_GB2312" w:cs="Times New Roman"/>
                            <w:szCs w:val="21"/>
                          </w:rPr>
                        </w:pPr>
                        <w:r>
                          <w:rPr>
                            <w:rFonts w:ascii="等线" w:hAnsi="等线" w:eastAsia="仿宋_GB2312" w:cs="Times New Roman"/>
                            <w:szCs w:val="21"/>
                          </w:rPr>
                          <w:fldChar w:fldCharType="begin"/>
                        </w:r>
                        <w:r>
                          <w:rPr>
                            <w:rFonts w:ascii="等线" w:hAnsi="等线" w:eastAsia="仿宋_GB2312" w:cs="Times New Roman"/>
                            <w:szCs w:val="21"/>
                          </w:rPr>
                          <w:instrText xml:space="preserve">PAGE   \* MERGEFORMAT</w:instrText>
                        </w:r>
                        <w:r>
                          <w:rPr>
                            <w:rFonts w:ascii="等线" w:hAnsi="等线" w:eastAsia="仿宋_GB2312" w:cs="Times New Roman"/>
                            <w:szCs w:val="21"/>
                          </w:rPr>
                          <w:fldChar w:fldCharType="separate"/>
                        </w:r>
                        <w:r>
                          <w:rPr>
                            <w:rFonts w:ascii="等线" w:hAnsi="等线" w:eastAsia="仿宋_GB2312" w:cs="Times New Roman"/>
                            <w:szCs w:val="21"/>
                            <w:lang w:val="zh-CN"/>
                          </w:rPr>
                          <w:t>13</w:t>
                        </w:r>
                        <w:r>
                          <w:rPr>
                            <w:rFonts w:ascii="等线" w:hAnsi="等线" w:eastAsia="仿宋_GB2312" w:cs="Times New Roman"/>
                            <w:szCs w:val="21"/>
                          </w:rPr>
                          <w:fldChar w:fldCharType="end"/>
                        </w:r>
                      </w:p>
                    </w:sdtContent>
                  </w:sdt>
                  <w:p>
                    <w:pPr>
                      <w:rPr>
                        <w:rFonts w:hint="eastAsia" w:ascii="等线" w:hAnsi="等线" w:eastAsia="仿宋_GB2312" w:cs="Times New Roman"/>
                        <w:szCs w:val="21"/>
                      </w:rPr>
                    </w:pPr>
                  </w:p>
                </w:txbxContent>
              </v:textbox>
            </v:shape>
          </w:pict>
        </mc:Fallback>
      </mc:AlternateContent>
    </w:r>
  </w:p>
  <w:p>
    <w:pPr>
      <w:tabs>
        <w:tab w:val="center" w:pos="4153"/>
        <w:tab w:val="right" w:pos="8306"/>
      </w:tabs>
      <w:snapToGrid w:val="0"/>
      <w:jc w:val="left"/>
      <w:rPr>
        <w:rFonts w:hint="eastAsia" w:ascii="等线" w:hAnsi="等线" w:eastAsia="仿宋_GB2312" w:cs="Times New Roman"/>
        <w:sz w:val="18"/>
        <w:szCs w:val="1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9"/>
                          </w:pPr>
                          <w:r>
                            <w:rPr>
                              <w:rFonts w:hint="eastAsia"/>
                            </w:rPr>
                            <w:fldChar w:fldCharType="begin"/>
                          </w:r>
                          <w:r>
                            <w:rPr>
                              <w:rFonts w:hint="eastAsia"/>
                            </w:rPr>
                            <w:instrText xml:space="preserve"> PAGE  \* MERGEFORMAT </w:instrText>
                          </w:r>
                          <w:r>
                            <w:rPr>
                              <w:rFonts w:hint="eastAsia"/>
                            </w:rPr>
                            <w:fldChar w:fldCharType="separate"/>
                          </w:r>
                          <w:r>
                            <w:t>30</w:t>
                          </w:r>
                          <w:r>
                            <w:rPr>
                              <w:rFonts w:hint="eastAsia"/>
                            </w:rPr>
                            <w:fldChar w:fldCharType="end"/>
                          </w:r>
                          <w:r>
                            <w:rPr>
                              <w:rFonts w:hint="eastAsia"/>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B4HF0wAgAAY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eEybMsbPXO&#10;8ggd5fF2dQyQs1M5itIrge7EDWav69PwTuJw/7nvoh7/D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FB4HF0wAgAAYwQAAA4AAAAAAAAAAQAgAAAAHwEAAGRycy9lMm9Eb2MueG1sUEsFBgAA&#10;AAAGAAYAWQEAAMEFAAAAAA==&#10;">
              <v:fill on="f" focussize="0,0"/>
              <v:stroke on="f" weight="0.5pt"/>
              <v:imagedata o:title=""/>
              <o:lock v:ext="edit" aspectratio="f"/>
              <v:textbox inset="0mm,0mm,0mm,0mm" style="mso-fit-shape-to-text:t;">
                <w:txbxContent>
                  <w:p>
                    <w:pPr>
                      <w:pStyle w:val="9"/>
                    </w:pPr>
                    <w:r>
                      <w:rPr>
                        <w:rFonts w:hint="eastAsia"/>
                      </w:rPr>
                      <w:fldChar w:fldCharType="begin"/>
                    </w:r>
                    <w:r>
                      <w:rPr>
                        <w:rFonts w:hint="eastAsia"/>
                      </w:rPr>
                      <w:instrText xml:space="preserve"> PAGE  \* MERGEFORMAT </w:instrText>
                    </w:r>
                    <w:r>
                      <w:rPr>
                        <w:rFonts w:hint="eastAsia"/>
                      </w:rPr>
                      <w:fldChar w:fldCharType="separate"/>
                    </w:r>
                    <w:r>
                      <w:t>30</w:t>
                    </w:r>
                    <w:r>
                      <w:rPr>
                        <w:rFonts w:hint="eastAsia"/>
                      </w:rPr>
                      <w:fldChar w:fldCharType="end"/>
                    </w:r>
                    <w:r>
                      <w:rPr>
                        <w:rFonts w:hint="eastAsia"/>
                      </w:rPr>
                      <w:t xml:space="preserve"> </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trackRevisions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E1YWM3OTIyOGZlMTExZmNmNDU3MjQyZTYzNGUyNWMifQ=="/>
  </w:docVars>
  <w:rsids>
    <w:rsidRoot w:val="47790AB7"/>
    <w:rsid w:val="00002231"/>
    <w:rsid w:val="0000749A"/>
    <w:rsid w:val="0001467B"/>
    <w:rsid w:val="00025ECF"/>
    <w:rsid w:val="00046EE0"/>
    <w:rsid w:val="00070257"/>
    <w:rsid w:val="00091B26"/>
    <w:rsid w:val="000A6C9A"/>
    <w:rsid w:val="000D1B2F"/>
    <w:rsid w:val="000E0EE7"/>
    <w:rsid w:val="001006E8"/>
    <w:rsid w:val="0010101D"/>
    <w:rsid w:val="00106D28"/>
    <w:rsid w:val="00107C6E"/>
    <w:rsid w:val="001209DA"/>
    <w:rsid w:val="00122F91"/>
    <w:rsid w:val="001473FD"/>
    <w:rsid w:val="001651D1"/>
    <w:rsid w:val="0016670A"/>
    <w:rsid w:val="00177BB5"/>
    <w:rsid w:val="00180285"/>
    <w:rsid w:val="001C28EC"/>
    <w:rsid w:val="001C303D"/>
    <w:rsid w:val="001E2704"/>
    <w:rsid w:val="001E3D61"/>
    <w:rsid w:val="001E460E"/>
    <w:rsid w:val="001E51DC"/>
    <w:rsid w:val="001E5473"/>
    <w:rsid w:val="001E5F79"/>
    <w:rsid w:val="001F190C"/>
    <w:rsid w:val="001F3E4B"/>
    <w:rsid w:val="00205859"/>
    <w:rsid w:val="00206155"/>
    <w:rsid w:val="00206B3F"/>
    <w:rsid w:val="00243440"/>
    <w:rsid w:val="00244403"/>
    <w:rsid w:val="0026249A"/>
    <w:rsid w:val="00272CD2"/>
    <w:rsid w:val="00274401"/>
    <w:rsid w:val="002968EB"/>
    <w:rsid w:val="002A1F5C"/>
    <w:rsid w:val="002B417E"/>
    <w:rsid w:val="002D03A7"/>
    <w:rsid w:val="002D4691"/>
    <w:rsid w:val="002E293C"/>
    <w:rsid w:val="00303073"/>
    <w:rsid w:val="00303EFA"/>
    <w:rsid w:val="00303F56"/>
    <w:rsid w:val="003756DB"/>
    <w:rsid w:val="00385431"/>
    <w:rsid w:val="00395BDA"/>
    <w:rsid w:val="003A2B96"/>
    <w:rsid w:val="003C3ABB"/>
    <w:rsid w:val="003D45D3"/>
    <w:rsid w:val="003E7D0D"/>
    <w:rsid w:val="003F597A"/>
    <w:rsid w:val="00405B5C"/>
    <w:rsid w:val="00405FEC"/>
    <w:rsid w:val="0041626E"/>
    <w:rsid w:val="00427684"/>
    <w:rsid w:val="00431BEA"/>
    <w:rsid w:val="004819D2"/>
    <w:rsid w:val="00484EF3"/>
    <w:rsid w:val="0048573F"/>
    <w:rsid w:val="004A6214"/>
    <w:rsid w:val="004B65AC"/>
    <w:rsid w:val="004C4C80"/>
    <w:rsid w:val="004C5ADB"/>
    <w:rsid w:val="004D3113"/>
    <w:rsid w:val="004E5649"/>
    <w:rsid w:val="004F5A85"/>
    <w:rsid w:val="005255A4"/>
    <w:rsid w:val="00534684"/>
    <w:rsid w:val="00535E6E"/>
    <w:rsid w:val="005577AE"/>
    <w:rsid w:val="0057359F"/>
    <w:rsid w:val="00585F7C"/>
    <w:rsid w:val="005D448B"/>
    <w:rsid w:val="005E353B"/>
    <w:rsid w:val="005E437D"/>
    <w:rsid w:val="005F6405"/>
    <w:rsid w:val="005F7DF0"/>
    <w:rsid w:val="00624DFE"/>
    <w:rsid w:val="00640D80"/>
    <w:rsid w:val="00660AA8"/>
    <w:rsid w:val="00683BC8"/>
    <w:rsid w:val="00692076"/>
    <w:rsid w:val="00696D52"/>
    <w:rsid w:val="006979B7"/>
    <w:rsid w:val="006B0076"/>
    <w:rsid w:val="006B53A8"/>
    <w:rsid w:val="006C1F56"/>
    <w:rsid w:val="006C69C1"/>
    <w:rsid w:val="006D164A"/>
    <w:rsid w:val="006D1D81"/>
    <w:rsid w:val="006E35DC"/>
    <w:rsid w:val="00724BC2"/>
    <w:rsid w:val="007337B6"/>
    <w:rsid w:val="00770789"/>
    <w:rsid w:val="00780B2C"/>
    <w:rsid w:val="00782F9A"/>
    <w:rsid w:val="00783B1A"/>
    <w:rsid w:val="007918E8"/>
    <w:rsid w:val="007B2126"/>
    <w:rsid w:val="007D369C"/>
    <w:rsid w:val="00807700"/>
    <w:rsid w:val="00816E99"/>
    <w:rsid w:val="0085652B"/>
    <w:rsid w:val="008633A0"/>
    <w:rsid w:val="0087238A"/>
    <w:rsid w:val="00877323"/>
    <w:rsid w:val="008A0D54"/>
    <w:rsid w:val="008A5529"/>
    <w:rsid w:val="008C17C3"/>
    <w:rsid w:val="008C1A16"/>
    <w:rsid w:val="008C1F98"/>
    <w:rsid w:val="008C51C3"/>
    <w:rsid w:val="008C52FB"/>
    <w:rsid w:val="008F3886"/>
    <w:rsid w:val="009023AE"/>
    <w:rsid w:val="00903547"/>
    <w:rsid w:val="0090603D"/>
    <w:rsid w:val="009074FF"/>
    <w:rsid w:val="009111D6"/>
    <w:rsid w:val="00930054"/>
    <w:rsid w:val="00943489"/>
    <w:rsid w:val="00945F99"/>
    <w:rsid w:val="009622AE"/>
    <w:rsid w:val="00971458"/>
    <w:rsid w:val="00973A16"/>
    <w:rsid w:val="00982AC7"/>
    <w:rsid w:val="00997442"/>
    <w:rsid w:val="009975EB"/>
    <w:rsid w:val="009A046A"/>
    <w:rsid w:val="009A0FF7"/>
    <w:rsid w:val="009E0A1A"/>
    <w:rsid w:val="00A0047E"/>
    <w:rsid w:val="00A101B9"/>
    <w:rsid w:val="00A11520"/>
    <w:rsid w:val="00A17070"/>
    <w:rsid w:val="00A30197"/>
    <w:rsid w:val="00A80F2F"/>
    <w:rsid w:val="00A84A11"/>
    <w:rsid w:val="00AA2119"/>
    <w:rsid w:val="00AA6D8A"/>
    <w:rsid w:val="00AB253B"/>
    <w:rsid w:val="00AC1748"/>
    <w:rsid w:val="00AC7814"/>
    <w:rsid w:val="00AD3303"/>
    <w:rsid w:val="00B1316C"/>
    <w:rsid w:val="00B16950"/>
    <w:rsid w:val="00B16F76"/>
    <w:rsid w:val="00B2676B"/>
    <w:rsid w:val="00B45254"/>
    <w:rsid w:val="00B474A3"/>
    <w:rsid w:val="00B55590"/>
    <w:rsid w:val="00B67936"/>
    <w:rsid w:val="00BB16B9"/>
    <w:rsid w:val="00BB386C"/>
    <w:rsid w:val="00BC3A4E"/>
    <w:rsid w:val="00C3598D"/>
    <w:rsid w:val="00C520DC"/>
    <w:rsid w:val="00C55543"/>
    <w:rsid w:val="00C6549A"/>
    <w:rsid w:val="00C654F3"/>
    <w:rsid w:val="00C81089"/>
    <w:rsid w:val="00C93102"/>
    <w:rsid w:val="00C937A0"/>
    <w:rsid w:val="00C9713A"/>
    <w:rsid w:val="00CB2042"/>
    <w:rsid w:val="00CB2C3A"/>
    <w:rsid w:val="00CC10D7"/>
    <w:rsid w:val="00CC4F4C"/>
    <w:rsid w:val="00CD7744"/>
    <w:rsid w:val="00CE73D7"/>
    <w:rsid w:val="00D158A0"/>
    <w:rsid w:val="00D463D9"/>
    <w:rsid w:val="00D63F25"/>
    <w:rsid w:val="00D868D4"/>
    <w:rsid w:val="00DA2681"/>
    <w:rsid w:val="00DB1B88"/>
    <w:rsid w:val="00DB5E91"/>
    <w:rsid w:val="00DD482C"/>
    <w:rsid w:val="00DD6084"/>
    <w:rsid w:val="00E10CD8"/>
    <w:rsid w:val="00E37300"/>
    <w:rsid w:val="00E464CC"/>
    <w:rsid w:val="00E5037D"/>
    <w:rsid w:val="00E515A9"/>
    <w:rsid w:val="00E534D2"/>
    <w:rsid w:val="00E66908"/>
    <w:rsid w:val="00E71DDF"/>
    <w:rsid w:val="00E9060C"/>
    <w:rsid w:val="00E9145B"/>
    <w:rsid w:val="00EA5914"/>
    <w:rsid w:val="00EB5CB5"/>
    <w:rsid w:val="00EB7BE2"/>
    <w:rsid w:val="00ED777E"/>
    <w:rsid w:val="00EE21F5"/>
    <w:rsid w:val="00EE75DA"/>
    <w:rsid w:val="00EF18D6"/>
    <w:rsid w:val="00EF1F69"/>
    <w:rsid w:val="00EF2DBF"/>
    <w:rsid w:val="00F05EDA"/>
    <w:rsid w:val="00F243FA"/>
    <w:rsid w:val="00F25BB0"/>
    <w:rsid w:val="00F2607A"/>
    <w:rsid w:val="00F32032"/>
    <w:rsid w:val="00F46077"/>
    <w:rsid w:val="00F55A78"/>
    <w:rsid w:val="00F70E48"/>
    <w:rsid w:val="00F73D53"/>
    <w:rsid w:val="00F90723"/>
    <w:rsid w:val="00F97734"/>
    <w:rsid w:val="00FE3621"/>
    <w:rsid w:val="00FE708D"/>
    <w:rsid w:val="00FE7E0C"/>
    <w:rsid w:val="00FF1400"/>
    <w:rsid w:val="00FF16FA"/>
    <w:rsid w:val="035C54BC"/>
    <w:rsid w:val="047F0AC5"/>
    <w:rsid w:val="06C26127"/>
    <w:rsid w:val="0A2E699B"/>
    <w:rsid w:val="0BF92556"/>
    <w:rsid w:val="104C5271"/>
    <w:rsid w:val="10F36F45"/>
    <w:rsid w:val="116C6D81"/>
    <w:rsid w:val="13726CD2"/>
    <w:rsid w:val="14A716EA"/>
    <w:rsid w:val="1C461D5E"/>
    <w:rsid w:val="1ED85F95"/>
    <w:rsid w:val="24A71884"/>
    <w:rsid w:val="25C5127A"/>
    <w:rsid w:val="28210363"/>
    <w:rsid w:val="2A295DBE"/>
    <w:rsid w:val="2B326843"/>
    <w:rsid w:val="2BBB610E"/>
    <w:rsid w:val="2DBF46D2"/>
    <w:rsid w:val="3CB879BE"/>
    <w:rsid w:val="43597899"/>
    <w:rsid w:val="44544AF6"/>
    <w:rsid w:val="463546CD"/>
    <w:rsid w:val="47790AB7"/>
    <w:rsid w:val="4E095D1A"/>
    <w:rsid w:val="4EFF29FD"/>
    <w:rsid w:val="4FED1BF8"/>
    <w:rsid w:val="50736915"/>
    <w:rsid w:val="51CA55A5"/>
    <w:rsid w:val="53950F8D"/>
    <w:rsid w:val="56D7691B"/>
    <w:rsid w:val="59466054"/>
    <w:rsid w:val="5E65126A"/>
    <w:rsid w:val="62696723"/>
    <w:rsid w:val="64512F8D"/>
    <w:rsid w:val="645626E6"/>
    <w:rsid w:val="64AF7CA6"/>
    <w:rsid w:val="66575FD9"/>
    <w:rsid w:val="66B12F5C"/>
    <w:rsid w:val="66E155F7"/>
    <w:rsid w:val="67703741"/>
    <w:rsid w:val="68DA4297"/>
    <w:rsid w:val="68EE5D89"/>
    <w:rsid w:val="6A5766DF"/>
    <w:rsid w:val="6F9C0EFC"/>
    <w:rsid w:val="70035F41"/>
    <w:rsid w:val="71370AE9"/>
    <w:rsid w:val="74D5599B"/>
    <w:rsid w:val="754B2F75"/>
    <w:rsid w:val="77B14C70"/>
    <w:rsid w:val="7C0F5A29"/>
    <w:rsid w:val="7D000E34"/>
    <w:rsid w:val="7EBF06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iPriority="99"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iPriority="99"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qFormat="1" w:unhideWhenUsed="0" w:uiPriority="99" w:semiHidden="0" w:name="Body Text First Indent"/>
    <w:lsdException w:qFormat="1" w:uiPriority="99"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uiPriority="0" w:name="Hyperlink"/>
    <w:lsdException w:uiPriority="0" w:name="FollowedHyperlink"/>
    <w:lsdException w:qFormat="1" w:unhideWhenUsed="0" w:uiPriority="22"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2"/>
    <w:basedOn w:val="1"/>
    <w:next w:val="1"/>
    <w:qFormat/>
    <w:uiPriority w:val="0"/>
    <w:pPr>
      <w:keepNext/>
      <w:keepLines/>
      <w:spacing w:before="260" w:after="260" w:line="413" w:lineRule="auto"/>
      <w:outlineLvl w:val="1"/>
    </w:pPr>
    <w:rPr>
      <w:rFonts w:ascii="Cambria" w:hAnsi="Cambria"/>
      <w:b/>
      <w:bCs/>
      <w:sz w:val="32"/>
      <w:szCs w:val="32"/>
    </w:rPr>
  </w:style>
  <w:style w:type="character" w:default="1" w:styleId="17">
    <w:name w:val="Default Paragraph Font"/>
    <w:semiHidden/>
    <w:unhideWhenUsed/>
    <w:uiPriority w:val="1"/>
  </w:style>
  <w:style w:type="table" w:default="1" w:styleId="15">
    <w:name w:val="Normal Table"/>
    <w:semiHidden/>
    <w:unhideWhenUsed/>
    <w:uiPriority w:val="99"/>
    <w:tblPr>
      <w:tblCellMar>
        <w:top w:w="0" w:type="dxa"/>
        <w:left w:w="108" w:type="dxa"/>
        <w:bottom w:w="0" w:type="dxa"/>
        <w:right w:w="108" w:type="dxa"/>
      </w:tblCellMar>
    </w:tblPr>
  </w:style>
  <w:style w:type="paragraph" w:customStyle="1" w:styleId="2">
    <w:name w:val="Default1"/>
    <w:qFormat/>
    <w:uiPriority w:val="0"/>
    <w:pPr>
      <w:widowControl w:val="0"/>
      <w:autoSpaceDE w:val="0"/>
      <w:autoSpaceDN w:val="0"/>
      <w:adjustRightInd w:val="0"/>
    </w:pPr>
    <w:rPr>
      <w:rFonts w:ascii="宋体" w:hAnsi="Times New Roman" w:eastAsia="仿宋_GB2312" w:cs="宋体"/>
      <w:color w:val="000000"/>
      <w:sz w:val="24"/>
      <w:szCs w:val="24"/>
      <w:lang w:val="en-US" w:eastAsia="zh-CN" w:bidi="ar-SA"/>
    </w:rPr>
  </w:style>
  <w:style w:type="paragraph" w:styleId="4">
    <w:name w:val="Normal Indent"/>
    <w:basedOn w:val="1"/>
    <w:qFormat/>
    <w:uiPriority w:val="0"/>
    <w:pPr>
      <w:ind w:firstLine="420" w:firstLineChars="200"/>
    </w:pPr>
  </w:style>
  <w:style w:type="paragraph" w:styleId="5">
    <w:name w:val="annotation text"/>
    <w:basedOn w:val="1"/>
    <w:link w:val="26"/>
    <w:semiHidden/>
    <w:unhideWhenUsed/>
    <w:qFormat/>
    <w:uiPriority w:val="99"/>
    <w:pPr>
      <w:jc w:val="left"/>
    </w:pPr>
  </w:style>
  <w:style w:type="paragraph" w:styleId="6">
    <w:name w:val="Body Text"/>
    <w:basedOn w:val="1"/>
    <w:link w:val="28"/>
    <w:qFormat/>
    <w:uiPriority w:val="0"/>
    <w:pPr>
      <w:spacing w:after="120"/>
    </w:pPr>
  </w:style>
  <w:style w:type="paragraph" w:styleId="7">
    <w:name w:val="Body Text Indent 2"/>
    <w:basedOn w:val="1"/>
    <w:qFormat/>
    <w:uiPriority w:val="0"/>
    <w:pPr>
      <w:adjustRightInd w:val="0"/>
      <w:spacing w:after="120" w:line="480" w:lineRule="auto"/>
      <w:ind w:left="420"/>
      <w:textAlignment w:val="baseline"/>
    </w:pPr>
    <w:rPr>
      <w:rFonts w:ascii="Times New Roman" w:hAnsi="Times New Roman" w:cs="Times New Roman"/>
      <w:kern w:val="0"/>
      <w:szCs w:val="20"/>
    </w:rPr>
  </w:style>
  <w:style w:type="paragraph" w:styleId="8">
    <w:name w:val="Balloon Text"/>
    <w:basedOn w:val="1"/>
    <w:link w:val="25"/>
    <w:qFormat/>
    <w:uiPriority w:val="0"/>
    <w:rPr>
      <w:sz w:val="18"/>
      <w:szCs w:val="18"/>
    </w:rPr>
  </w:style>
  <w:style w:type="paragraph" w:styleId="9">
    <w:name w:val="footer"/>
    <w:basedOn w:val="1"/>
    <w:qFormat/>
    <w:uiPriority w:val="99"/>
    <w:pPr>
      <w:tabs>
        <w:tab w:val="center" w:pos="4153"/>
        <w:tab w:val="right" w:pos="8306"/>
      </w:tabs>
      <w:snapToGrid w:val="0"/>
      <w:jc w:val="left"/>
    </w:pPr>
    <w:rPr>
      <w:sz w:val="18"/>
      <w:szCs w:val="18"/>
    </w:rPr>
  </w:style>
  <w:style w:type="paragraph" w:styleId="10">
    <w:name w:val="header"/>
    <w:basedOn w:val="1"/>
    <w:link w:val="24"/>
    <w:qFormat/>
    <w:uiPriority w:val="0"/>
    <w:pPr>
      <w:pBdr>
        <w:bottom w:val="single" w:color="auto" w:sz="6" w:space="1"/>
      </w:pBdr>
      <w:tabs>
        <w:tab w:val="center" w:pos="4153"/>
        <w:tab w:val="right" w:pos="8306"/>
      </w:tabs>
      <w:snapToGrid w:val="0"/>
      <w:jc w:val="center"/>
    </w:pPr>
    <w:rPr>
      <w:sz w:val="18"/>
      <w:szCs w:val="18"/>
    </w:rPr>
  </w:style>
  <w:style w:type="paragraph" w:styleId="11">
    <w:name w:val="List"/>
    <w:basedOn w:val="1"/>
    <w:next w:val="1"/>
    <w:qFormat/>
    <w:uiPriority w:val="0"/>
    <w:pPr>
      <w:snapToGrid w:val="0"/>
    </w:pPr>
  </w:style>
  <w:style w:type="paragraph" w:styleId="12">
    <w:name w:val="Normal (Web)"/>
    <w:basedOn w:val="1"/>
    <w:unhideWhenUsed/>
    <w:qFormat/>
    <w:uiPriority w:val="99"/>
    <w:pPr>
      <w:spacing w:before="100" w:beforeAutospacing="1" w:after="100" w:afterAutospacing="1" w:line="360" w:lineRule="auto"/>
      <w:jc w:val="left"/>
    </w:pPr>
    <w:rPr>
      <w:rFonts w:eastAsia="仿宋_GB2312" w:cs="Times New Roman"/>
      <w:kern w:val="0"/>
      <w:sz w:val="24"/>
      <w:szCs w:val="22"/>
    </w:rPr>
  </w:style>
  <w:style w:type="paragraph" w:styleId="13">
    <w:name w:val="annotation subject"/>
    <w:basedOn w:val="5"/>
    <w:next w:val="5"/>
    <w:link w:val="27"/>
    <w:qFormat/>
    <w:uiPriority w:val="0"/>
    <w:rPr>
      <w:b/>
      <w:bCs/>
    </w:rPr>
  </w:style>
  <w:style w:type="paragraph" w:styleId="14">
    <w:name w:val="Body Text First Indent"/>
    <w:basedOn w:val="6"/>
    <w:link w:val="32"/>
    <w:qFormat/>
    <w:uiPriority w:val="99"/>
    <w:pPr>
      <w:ind w:firstLine="420" w:firstLineChars="100"/>
    </w:pPr>
    <w:rPr>
      <w:rFonts w:ascii="Times New Roman" w:hAnsi="Times New Roman" w:eastAsia="宋体" w:cs="Times New Roman"/>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qFormat/>
    <w:uiPriority w:val="22"/>
    <w:rPr>
      <w:b/>
      <w:bCs/>
    </w:rPr>
  </w:style>
  <w:style w:type="character" w:styleId="19">
    <w:name w:val="page number"/>
    <w:basedOn w:val="17"/>
    <w:qFormat/>
    <w:uiPriority w:val="0"/>
  </w:style>
  <w:style w:type="character" w:styleId="20">
    <w:name w:val="annotation reference"/>
    <w:basedOn w:val="17"/>
    <w:qFormat/>
    <w:uiPriority w:val="0"/>
    <w:rPr>
      <w:sz w:val="21"/>
      <w:szCs w:val="21"/>
    </w:rPr>
  </w:style>
  <w:style w:type="table" w:customStyle="1" w:styleId="21">
    <w:name w:val="Table Normal"/>
    <w:semiHidden/>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paragraph" w:styleId="22">
    <w:name w:val="List Paragraph"/>
    <w:basedOn w:val="1"/>
    <w:qFormat/>
    <w:uiPriority w:val="99"/>
    <w:pPr>
      <w:ind w:firstLine="420" w:firstLineChars="200"/>
    </w:pPr>
    <w:rPr>
      <w:rFonts w:cs="Times New Roman"/>
    </w:rPr>
  </w:style>
  <w:style w:type="paragraph" w:styleId="23">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24">
    <w:name w:val="页眉 字符"/>
    <w:basedOn w:val="17"/>
    <w:link w:val="10"/>
    <w:qFormat/>
    <w:uiPriority w:val="0"/>
    <w:rPr>
      <w:kern w:val="2"/>
      <w:sz w:val="18"/>
      <w:szCs w:val="18"/>
    </w:rPr>
  </w:style>
  <w:style w:type="character" w:customStyle="1" w:styleId="25">
    <w:name w:val="批注框文本 字符"/>
    <w:basedOn w:val="17"/>
    <w:link w:val="8"/>
    <w:qFormat/>
    <w:uiPriority w:val="0"/>
    <w:rPr>
      <w:kern w:val="2"/>
      <w:sz w:val="18"/>
      <w:szCs w:val="18"/>
    </w:rPr>
  </w:style>
  <w:style w:type="character" w:customStyle="1" w:styleId="26">
    <w:name w:val="批注文字 字符"/>
    <w:basedOn w:val="17"/>
    <w:link w:val="5"/>
    <w:semiHidden/>
    <w:qFormat/>
    <w:uiPriority w:val="99"/>
    <w:rPr>
      <w:kern w:val="2"/>
      <w:sz w:val="21"/>
      <w:szCs w:val="24"/>
    </w:rPr>
  </w:style>
  <w:style w:type="character" w:customStyle="1" w:styleId="27">
    <w:name w:val="批注主题 字符"/>
    <w:basedOn w:val="26"/>
    <w:link w:val="13"/>
    <w:qFormat/>
    <w:uiPriority w:val="0"/>
    <w:rPr>
      <w:b/>
      <w:bCs/>
      <w:kern w:val="2"/>
      <w:sz w:val="21"/>
      <w:szCs w:val="24"/>
    </w:rPr>
  </w:style>
  <w:style w:type="character" w:customStyle="1" w:styleId="28">
    <w:name w:val="正文文本 字符"/>
    <w:basedOn w:val="17"/>
    <w:link w:val="6"/>
    <w:qFormat/>
    <w:uiPriority w:val="0"/>
    <w:rPr>
      <w:kern w:val="2"/>
      <w:sz w:val="21"/>
      <w:szCs w:val="24"/>
    </w:rPr>
  </w:style>
  <w:style w:type="paragraph" w:customStyle="1" w:styleId="29">
    <w:name w:val="列出段落1"/>
    <w:basedOn w:val="1"/>
    <w:qFormat/>
    <w:uiPriority w:val="34"/>
    <w:pPr>
      <w:spacing w:line="360" w:lineRule="auto"/>
      <w:ind w:firstLine="420" w:firstLineChars="200"/>
    </w:pPr>
    <w:rPr>
      <w:rFonts w:ascii="Times New Roman" w:hAnsi="Times New Roman" w:eastAsia="宋体" w:cs="Times New Roman"/>
      <w:sz w:val="24"/>
      <w:szCs w:val="20"/>
    </w:rPr>
  </w:style>
  <w:style w:type="paragraph" w:customStyle="1" w:styleId="30">
    <w:name w:val="Table Paragraph"/>
    <w:basedOn w:val="1"/>
    <w:qFormat/>
    <w:uiPriority w:val="1"/>
    <w:pPr>
      <w:autoSpaceDE w:val="0"/>
      <w:autoSpaceDN w:val="0"/>
      <w:jc w:val="left"/>
    </w:pPr>
    <w:rPr>
      <w:rFonts w:ascii="宋体" w:hAnsi="宋体" w:eastAsia="宋体" w:cs="宋体"/>
      <w:kern w:val="0"/>
      <w:sz w:val="22"/>
      <w:szCs w:val="22"/>
      <w:lang w:eastAsia="en-US"/>
    </w:rPr>
  </w:style>
  <w:style w:type="paragraph" w:customStyle="1" w:styleId="31">
    <w:name w:val="修订1"/>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32">
    <w:name w:val="正文文本首行缩进 字符"/>
    <w:basedOn w:val="28"/>
    <w:link w:val="14"/>
    <w:qFormat/>
    <w:uiPriority w:val="99"/>
    <w:rPr>
      <w:rFonts w:ascii="Times New Roman" w:hAnsi="Times New Roman" w:eastAsia="宋体" w:cs="Times New Roman"/>
      <w:kern w:val="2"/>
      <w:sz w:val="21"/>
      <w:szCs w:val="24"/>
    </w:rPr>
  </w:style>
  <w:style w:type="paragraph" w:customStyle="1" w:styleId="33">
    <w:name w:val="Default"/>
    <w:next w:val="1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4">
    <w:name w:val="修订2"/>
    <w:hidden/>
    <w:unhideWhenUsed/>
    <w:qFormat/>
    <w:uiPriority w:val="99"/>
    <w:rPr>
      <w:rFonts w:asciiTheme="minorHAnsi" w:hAnsiTheme="minorHAnsi" w:eastAsiaTheme="minorEastAsia" w:cstheme="minorBidi"/>
      <w:kern w:val="2"/>
      <w:sz w:val="21"/>
      <w:szCs w:val="24"/>
      <w:lang w:val="en-US" w:eastAsia="zh-CN" w:bidi="ar-SA"/>
    </w:rPr>
  </w:style>
  <w:style w:type="paragraph" w:customStyle="1" w:styleId="35">
    <w:name w:val="修订3"/>
    <w:hidden/>
    <w:unhideWhenUsed/>
    <w:qFormat/>
    <w:uiPriority w:val="99"/>
    <w:rPr>
      <w:rFonts w:asciiTheme="minorHAnsi" w:hAnsiTheme="minorHAnsi" w:eastAsiaTheme="minorEastAsia" w:cstheme="minorBidi"/>
      <w:kern w:val="2"/>
      <w:sz w:val="21"/>
      <w:szCs w:val="24"/>
      <w:lang w:val="en-US" w:eastAsia="zh-CN" w:bidi="ar-SA"/>
    </w:rPr>
  </w:style>
  <w:style w:type="paragraph" w:customStyle="1" w:styleId="36">
    <w:name w:val="Revision"/>
    <w:hidden/>
    <w:unhideWhenUsed/>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customXml" Target="../customXml/item1.xml"/><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BB81409-B738-438A-B1E8-06807BEF2FA1}">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70</Pages>
  <Words>4324</Words>
  <Characters>24650</Characters>
  <Lines>205</Lines>
  <Paragraphs>57</Paragraphs>
  <TotalTime>36</TotalTime>
  <ScaleCrop>false</ScaleCrop>
  <LinksUpToDate>false</LinksUpToDate>
  <CharactersWithSpaces>28917</CharactersWithSpaces>
  <Application>WPS Office_11.8.6.11719_F1E327BC-269C-435d-A152-05C5408002CA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2024-10-15T01:50:00Z</dcterms:created>
  <dc:creator>wlf</dc:creator>
  <cp:lastModifiedBy>颜文光</cp:lastModifiedBy>
  <cp:lastPrinted>2021-04-30T02:03:00Z</cp:lastPrinted>
  <dcterms:modified xsi:type="dcterms:W3CDTF">2024-10-29T01:23:10Z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2052-11.8.6.11719</vt:lpwstr>
  </property>
  <property fmtid="{D5CDD505-2E9C-101B-9397-08002B2CF9AE}" pid="3" name="ICV">
    <vt:lpwstr>ECCBA9F70674479297A4B4AC9BAD9AB2</vt:lpwstr>
  </property>
</Properties>
</file>